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2270" w14:textId="74A40316" w:rsidR="00EC29BA" w:rsidRDefault="008B6AC3" w:rsidP="00D230CC">
      <w:pPr>
        <w:pStyle w:val="Titel"/>
        <w:rPr>
          <w:lang w:val="de-CH"/>
        </w:rPr>
      </w:pPr>
      <w:r>
        <w:rPr>
          <w:lang w:val="de-CH"/>
        </w:rPr>
        <w:t>Die Resilienz von Wäldern gegenüber klimabedingten S</w:t>
      </w:r>
      <w:r w:rsidR="002F7EC8">
        <w:rPr>
          <w:lang w:val="de-CH"/>
        </w:rPr>
        <w:t>törung</w:t>
      </w:r>
      <w:r>
        <w:rPr>
          <w:lang w:val="de-CH"/>
        </w:rPr>
        <w:t>en und die politischen Antworten im globalen Kontext</w:t>
      </w:r>
    </w:p>
    <w:p w14:paraId="47ABD856" w14:textId="70F85783" w:rsidR="00D230CC" w:rsidRPr="00D230CC" w:rsidRDefault="002F7EC8">
      <w:pPr>
        <w:rPr>
          <w:rStyle w:val="Hervorhebung"/>
        </w:rPr>
      </w:pPr>
      <w:r>
        <w:rPr>
          <w:rStyle w:val="Hervorhebung"/>
        </w:rPr>
        <w:t xml:space="preserve">Florian </w:t>
      </w:r>
      <w:proofErr w:type="spellStart"/>
      <w:r>
        <w:rPr>
          <w:rStyle w:val="Hervorhebung"/>
        </w:rPr>
        <w:t>Dolci</w:t>
      </w:r>
      <w:proofErr w:type="spellEnd"/>
      <w:r>
        <w:rPr>
          <w:rStyle w:val="Hervorhebung"/>
        </w:rPr>
        <w:t xml:space="preserve">, Stella Harper, Paulina Körner, Rachel Linley, Salomé Stauffer, Ladina </w:t>
      </w:r>
      <w:proofErr w:type="spellStart"/>
      <w:r>
        <w:rPr>
          <w:rStyle w:val="Hervorhebung"/>
        </w:rPr>
        <w:t>Steinegger</w:t>
      </w:r>
      <w:proofErr w:type="spellEnd"/>
    </w:p>
    <w:p w14:paraId="2697372E" w14:textId="77777777" w:rsidR="00D230CC" w:rsidRDefault="00D230CC" w:rsidP="00D230CC">
      <w:pPr>
        <w:pStyle w:val="berschrift1"/>
        <w:rPr>
          <w:lang w:val="de-CH"/>
        </w:rPr>
      </w:pPr>
      <w:r>
        <w:rPr>
          <w:lang w:val="de-CH"/>
        </w:rPr>
        <w:t>Zusammenfassung</w:t>
      </w:r>
    </w:p>
    <w:p w14:paraId="1DD0BC1C" w14:textId="60089494" w:rsidR="007E6221" w:rsidRPr="007E6221" w:rsidRDefault="007E6221" w:rsidP="007E6221">
      <w:pPr>
        <w:spacing w:line="22" w:lineRule="atLeast"/>
        <w:jc w:val="both"/>
        <w:rPr>
          <w:rFonts w:eastAsia="Times New Roman" w:cs="Times New Roman"/>
          <w:color w:val="000000"/>
          <w:lang w:val="de-CH" w:eastAsia="de-CH"/>
        </w:rPr>
      </w:pPr>
      <w:r w:rsidRPr="007E6221">
        <w:rPr>
          <w:rFonts w:eastAsia="Times New Roman" w:cs="Arial"/>
          <w:color w:val="000000"/>
          <w:lang w:val="de-CH" w:eastAsia="de-CH"/>
        </w:rPr>
        <w:t>In Waldökosystemen steigt aufgrund des menschgemachten Klimawandels die Häufigkeit und Intensität von natürlichen Störungen wie Dürreperioden</w:t>
      </w:r>
      <w:bookmarkStart w:id="0" w:name="_GoBack"/>
      <w:bookmarkEnd w:id="0"/>
      <w:r>
        <w:rPr>
          <w:rFonts w:eastAsia="Times New Roman" w:cs="Arial"/>
          <w:color w:val="000000"/>
          <w:lang w:val="de-CH" w:eastAsia="de-CH"/>
        </w:rPr>
        <w:fldChar w:fldCharType="begin" w:fldLock="1"/>
      </w:r>
      <w:r w:rsidR="00D337D8">
        <w:rPr>
          <w:rFonts w:eastAsia="Times New Roman" w:cs="Arial"/>
          <w:color w:val="000000"/>
          <w:lang w:val="de-CH" w:eastAsia="de-CH"/>
        </w:rPr>
        <w:instrText>ADDIN CSL_CITATION {"citationItems":[{"id":"ITEM-1","itemData":{"DOI":"10.1016/j.foreco.2009.09.001","ISSN":"03781127","abstract":"Greenhouse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Management","id":"ITEM-1","issue":"4","issued":{"date-parts":[["2010","2","5"]]},"note":"à       globaler Überblick zu aktueller Baummortalität wegen klimatischem Wasserstress und warmen Temp. in Wäldern schaffen, Wissenslücken aufzeigen \nà       Literaturrecherche (ab 1970-2009) \nà       Literaturherausgabe nimmt zu, nicht nur in H2O-limitierten Regionen, abh. v. Baumdichte, Zeit, Grösse &amp;amp; Alter","page":"660-684","title":"A global overview of drought and heat-induced tree mortality reveals emerging climate change risks for forests","type":"article-journal","volume":"259"},"uris":["http://www.mendeley.com/documents/?uuid=de0ae999-8499-3d01-ae83-f7c7c3470640"]}],"mendeley":{"formattedCitation":"&lt;sup&gt;1&lt;/sup&gt;","plainTextFormattedCitation":"1","previouslyFormattedCitation":"&lt;sup&gt;1&lt;/sup&gt;"},"properties":{"noteIndex":0},"schema":"https://github.com/citation-style-language/schema/raw/master/csl-citation.json"}</w:instrText>
      </w:r>
      <w:r>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1</w:t>
      </w:r>
      <w:r>
        <w:rPr>
          <w:rFonts w:eastAsia="Times New Roman" w:cs="Arial"/>
          <w:color w:val="000000"/>
          <w:lang w:val="de-CH" w:eastAsia="de-CH"/>
        </w:rPr>
        <w:fldChar w:fldCharType="end"/>
      </w:r>
      <w:r w:rsidRPr="007E6221">
        <w:rPr>
          <w:rFonts w:eastAsia="Times New Roman" w:cs="Arial"/>
          <w:color w:val="000000"/>
          <w:lang w:val="de-CH" w:eastAsia="de-CH"/>
        </w:rPr>
        <w:t>, Stürmen</w:t>
      </w:r>
      <w:r w:rsidR="00EB3E0D">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{"citationItems":[{"id":"ITEM-1","itemData":{"DOI":"10.1016/j.agrformet.2009.08.010","ISSN":"01681923","abstract":"The most severe damage to forests in Central Europe occurs during winter storms caused by Northern Hemispheric mid-latitude cyclones. Storm events in the winter semesters of the past 150 years were investigated to quantify changes and evaluate whether damage rates, forest properties and climate had changed. Records of damage extent (wind throw/snap/breakage), forest area and growing stock in Switzerland were comparatively analysed. Storm damage (m3) was 17 times greater during the period 1958-2007 than during the period 1908-1957 and 22 times greater than in the period 1858-1907. Forest area in Switzerland has increased by 63% and growing stock by 292% over the past 150 years. The significant recent increase in storm damage could only partially be explained by increased growing stock. Weather reports prior to storms indicated that severe storm damage occurred almost always when soils were unfrozen (96%) and wet (96%). During the observation period mean winter temperature has increased by nearly 2 °C and winter precipitation has increased by nearly 50% in the study region. In the Zurich region, daily maximum gust wind speed and storm damage were compared. Maximum gust wind speed above 35 m s-1 was associated with extensive storm damage. Catastrophic storm damage and maximum gust wind speed measured during storms have increased during recent decades. In conclusion, increasing growing stock, warm winter temperature and high precipitation, and even more markedly, increasing maximum gust wind speed have all contributed to the recent increase in windstorm damage to forests. © 2009 Elsevier B.V. All rights reserved.","author":[{"dropping-particle":"","family":"Usbeck","given":"Tilo","non-dropping-particle":"","parse-names":false,"suffix":""},{"dropping-particle":"","family":"Wohlgemuth","given":"Thomas","non-dropping-particle":"","parse-names":false,"suffix":""},{"dropping-particle":"","family":"Dobbertin","given":"Matthias","non-dropping-particle":"","parse-names":false,"suffix":""},{"dropping-particle":"","family":"Pfister","given":"Christian","non-dropping-particle":"","parse-names":false,"suffix":""},{"dropping-particle":"","family":"Bürgi","given":"Anton","non-dropping-particle":"","parse-names":false,"suffix":""},{"dropping-particle":"","family":"Rebetez","given":"Martine","non-dropping-particle":"","parse-names":false,"suffix":""}],"container-title":"Agricultural and Forest Meteorology","id":"ITEM-1","issue":"1","issued":{"date-parts":[["2010","1","15"]]},"page":"47-55","title":"Increasing storm damage to forests in Switzerland from 1858 to 2007","type":"article-journal","volume":"150"},"uris":["http://www.mendeley.com/documents/?uuid=b329b08f-9da8-3c70-ac80-bed6d2e209fc"]}],"mendeley":{"formattedCitation":"&lt;sup&gt;2&lt;/sup&gt;","plainTextFormattedCitation":"2","previouslyFormattedCitation":"&lt;sup&gt;2&lt;/sup&gt;"},"properties":{"noteIndex":0},"schema":"https://github.com/citation-style-language/schema/raw/master/csl-citation.json"}</w:instrText>
      </w:r>
      <w:r w:rsidR="00EB3E0D">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2</w:t>
      </w:r>
      <w:r w:rsidR="00EB3E0D">
        <w:rPr>
          <w:rFonts w:eastAsia="Times New Roman" w:cs="Arial"/>
          <w:color w:val="000000"/>
          <w:lang w:val="de-CH" w:eastAsia="de-CH"/>
        </w:rPr>
        <w:fldChar w:fldCharType="end"/>
      </w:r>
      <w:r w:rsidRPr="007E6221">
        <w:rPr>
          <w:rFonts w:eastAsia="Times New Roman" w:cs="Arial"/>
          <w:color w:val="000000"/>
          <w:lang w:val="de-CH" w:eastAsia="de-CH"/>
        </w:rPr>
        <w:t xml:space="preserve"> und Bränden</w:t>
      </w:r>
      <w:r w:rsidRPr="007E6221">
        <w:rPr>
          <w:rFonts w:eastAsia="Times New Roman" w:cs="Arial"/>
          <w:color w:val="000000"/>
          <w:lang w:val="de-CH" w:eastAsia="de-CH"/>
        </w:rPr>
        <w:fldChar w:fldCharType="begin" w:fldLock="1"/>
      </w:r>
      <w:r w:rsidRPr="007E6221">
        <w:rPr>
          <w:rFonts w:eastAsia="Times New Roman" w:cs="Arial"/>
          <w:color w:val="000000"/>
          <w:lang w:val="de-CH" w:eastAsia="de-CH"/>
        </w:rPr>
        <w:instrText>ADDIN CSL_CITATION {"citationItems":[{"id":"ITEM-1","itemData":{"DOI":"10.1111/ele.12889","ISSN":"14610248","abstract":"Forest resilience to climate change is a global concern given the potential effects of increased disturbance activity, warming temperatures and increased moisture stress on plants. We used a multi-regional dataset of 1485 sites across 52 wildfires from the US Rocky Mountains to ask if and how changing climate over the last several decades impacted post-fire tree regeneration, a key indicator of forest resilience. Results highlight significant decreases in tree regeneration in the 21st century. Annual moisture deficits were significantly greater from 2000 to 2015 as compared to 1985–1999, suggesting increasingly unfavourable post-fire growing conditions, corresponding to significantly lower seedling densities and increased regeneration failure. Dry forests that already occur at the edge of their climatic tolerance are most prone to conversion to non-forests after wildfires. Major climate-induced reduction in forest density and extent has important consequences for a myriad of ecosystem services now and in the future.","author":[{"dropping-particle":"","family":"Stevens-Rumann","given":"Camille S.","non-dropping-particle":"","parse-names":false,"suffix":""},{"dropping-particle":"","family":"Kemp","given":"Kerry B.","non-dropping-particle":"","parse-names":false,"suffix":""},{"dropping-particle":"","family":"Higuera","given":"Philip E.","non-dropping-particle":"","parse-names":false,"suffix":""},{"dropping-particle":"","family":"Harvey","given":"Brian J.","non-dropping-particle":"","parse-names":false,"suffix":""},{"dropping-particle":"","family":"Rother","given":"Monica T.","non-dropping-particle":"","parse-names":false,"suffix":""},{"dropping-particle":"","family":"Donato","given":"Daniel C.","non-dropping-particle":"","parse-names":false,"suffix":""},{"dropping-particle":"","family":"Morgan","given":"Penelope","non-dropping-particle":"","parse-names":false,"suffix":""},{"dropping-particle":"","family":"Veblen","given":"Thomas T.","non-dropping-particle":"","parse-names":false,"suffix":""}],"container-title":"Ecology Letters","id":"ITEM-1","issue":"2","issued":{"date-parts":[["2019","2","1"]]},"page":"243-252","publisher":"Blackwell Publishing Ltd","title":"Evidence for declining forest resilience to wildfires under climate change","type":"article","volume":"21"},"uris":["http://www.mendeley.com/documents/?uuid=448b0003-f863-3fed-91b4-4ec6d306b62c"]}],"mendeley":{"formattedCitation":"&lt;sup&gt;3&lt;/sup&gt;","plainTextFormattedCitation":"3","previouslyFormattedCitation":"&lt;sup&gt;3&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3</w:t>
      </w:r>
      <w:r w:rsidRPr="007E6221">
        <w:rPr>
          <w:rFonts w:eastAsia="Times New Roman" w:cs="Arial"/>
          <w:color w:val="000000"/>
          <w:lang w:val="de-CH" w:eastAsia="de-CH"/>
        </w:rPr>
        <w:fldChar w:fldCharType="end"/>
      </w:r>
      <w:r w:rsidRPr="007E6221">
        <w:rPr>
          <w:rFonts w:eastAsia="Times New Roman" w:cs="Arial"/>
          <w:color w:val="000000"/>
          <w:lang w:val="de-CH" w:eastAsia="de-CH"/>
        </w:rPr>
        <w:t xml:space="preserve">. </w:t>
      </w:r>
      <w:r w:rsidR="006C47A3">
        <w:rPr>
          <w:rFonts w:eastAsia="Times New Roman" w:cs="Arial"/>
          <w:color w:val="000000"/>
          <w:lang w:val="de-CH" w:eastAsia="de-CH"/>
        </w:rPr>
        <w:t>Daraus resultiert eine erhöhte</w:t>
      </w:r>
      <w:r w:rsidR="00695947">
        <w:rPr>
          <w:rFonts w:eastAsia="Times New Roman" w:cs="Arial"/>
          <w:color w:val="000000"/>
          <w:lang w:val="de-CH" w:eastAsia="de-CH"/>
        </w:rPr>
        <w:t xml:space="preserve"> </w:t>
      </w:r>
      <w:r w:rsidR="006C47A3">
        <w:rPr>
          <w:rFonts w:eastAsia="Times New Roman" w:cs="Arial"/>
          <w:color w:val="000000"/>
          <w:lang w:val="de-CH" w:eastAsia="de-CH"/>
        </w:rPr>
        <w:t xml:space="preserve">Vulnerabilität und eine verminderte </w:t>
      </w:r>
      <w:r w:rsidRPr="007E6221">
        <w:rPr>
          <w:rFonts w:eastAsia="Times New Roman" w:cs="Arial"/>
          <w:color w:val="000000"/>
          <w:lang w:val="de-CH" w:eastAsia="de-CH"/>
        </w:rPr>
        <w:t>Erholungszeit der Bäume</w:t>
      </w:r>
      <w:r w:rsidRPr="007E6221">
        <w:rPr>
          <w:rFonts w:eastAsia="Times New Roman" w:cs="Arial"/>
          <w:color w:val="000000"/>
          <w:lang w:val="de-CH" w:eastAsia="de-CH"/>
        </w:rPr>
        <w:fldChar w:fldCharType="begin" w:fldLock="1"/>
      </w:r>
      <w:r w:rsidRPr="007E6221">
        <w:rPr>
          <w:rFonts w:eastAsia="Times New Roman" w:cs="Arial"/>
          <w:color w:val="000000"/>
          <w:lang w:val="de-CH" w:eastAsia="de-CH"/>
        </w:rPr>
        <w:instrText>ADDIN CSL_CITATION {"citationItems":[{"id":"ITEM-1","itemData":{"DOI":"10.1038/nature23021","ISSN":"14764687","abstract":"Drought, a recurring phenomenon with major impacts on both human and natural systems, is the most widespread climatic extreme that negatively affects the land carbon sink. Although twentieth-century trends in drought regimes are ambiguous, across many regions more frequent and severe droughts are expected in the twenty-first century. Recovery time - how long an ecosystem requires to revert to its pre-drought functional state - is a critical metric of drought impact. Yet the factors influencing drought recovery and its spatiotemporal patterns at the global scale are largely unknown. Here we analyse three independent datasets of gross primary productivity and show that, across diverse ecosystems, drought recovery times are strongly associated with climate and carbon cycle dynamics, with biodiversity and CO 2 fertilization as secondary factors. Our analysis also provides two key insights into the spatiotemporal patterns of drought recovery time: first, that recovery is longest in the tropics and high northern latitudes (both vulnerable areas of Earth's climate system) and second, that drought impacts (assessed using the area of ecosystems actively recovering and time to recovery) have increased over the twentieth century. If droughts become more frequent, as expected, the time between droughts may become shorter than drought recovery time, leading to permanently damaged ecosystems and widespread degradation of the land carbon sink.","author":[{"dropping-particle":"","family":"Schwalm","given":"Christopher R.","non-dropping-particle":"","parse-names":false,"suffix":""},{"dropping-particle":"","family":"Anderegg","given":"William R.L.","non-dropping-particle":"","parse-names":false,"suffix":""},{"dropping-particle":"","family":"Michalak","given":"Anna M.","non-dropping-particle":"","parse-names":false,"suffix":""},{"dropping-particle":"","family":"Fisher","given":"Joshua B.","non-dropping-particle":"","parse-names":false,"suffix":""},{"dropping-particle":"","family":"Biondi","given":"Franco","non-dropping-particle":"","parse-names":false,"suffix":""},{"dropping-particle":"","family":"Koch","given":"George","non-dropping-particle":"","parse-names":false,"suffix":""},{"dropping-particle":"","family":"Litvak","given":"Marcy","non-dropping-particle":"","parse-names":false,"suffix":""},{"dropping-particle":"","family":"Ogle","given":"Kiona","non-dropping-particle":"","parse-names":false,"suffix":""},{"dropping-particle":"","family":"Shaw","given":"John D.","non-dropping-particle":"","parse-names":false,"suffix":""},{"dropping-particle":"","family":"Wolf","given":"Adam","non-dropping-particle":"","parse-names":false,"suffix":""},{"dropping-particle":"","family":"Huntzinger","given":"Deborah N.","non-dropping-particle":"","parse-names":false,"suffix":""},{"dropping-particle":"","family":"Schaefer","given":"Kevin","non-dropping-particle":"","parse-names":false,"suffix":""},{"dropping-particle":"","family":"Cook","given":"Robert","non-dropping-particle":"","parse-names":false,"suffix":""},{"dropping-particle":"","family":"Wei","given":"Yaxing","non-dropping-particle":"","parse-names":false,"suffix":""},{"dropping-particle":"","family":"Fang","given":"Yuanyuan","non-dropping-particle":"","parse-names":false,"suffix":""},{"dropping-particle":"","family":"Hayes","given":"Daniel","non-dropping-particle":"","parse-names":false,"suffix":""},{"dropping-particle":"","family":"Huang","given":"Maoyi","non-dropping-particle":"","parse-names":false,"suffix":""},{"dropping-particle":"","family":"Jain","given":"Atul","non-dropping-particle":"","parse-names":false,"suffix":""},{"dropping-particle":"","family":"Tian","given":"Hanqin","non-dropping-particle":"","parse-names":false,"suffix":""}],"container-title":"Nature","id":"ITEM-1","issue":"7666","issued":{"date-parts":[["2017","8","9"]]},"note":"à       Erholungszeit nach Dürre div. Ökosysteme anhand GPP    Statistische Auswertung        (Längere und intensivere Dürreperioden)  \nà       Erholungszeit nimmt zu \nà       Vulnerabilität bezgl. Dürre nimmt zu, besonders lang an Polen und Äquator, land carbon sink!","page":"202-205","publisher":"Nature Publishing Group","title":"Global patterns of drought recovery","type":"article-journal","volume":"548"},"uris":["http://www.mendeley.com/documents/?uuid=6cea3abb-af13-36b2-9161-70c460225ff6"]}],"mendeley":{"formattedCitation":"&lt;sup&gt;4&lt;/sup&gt;","plainTextFormattedCitation":"4","previouslyFormattedCitation":"&lt;sup&gt;4&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4</w:t>
      </w:r>
      <w:r w:rsidRPr="007E6221">
        <w:rPr>
          <w:rFonts w:eastAsia="Times New Roman" w:cs="Arial"/>
          <w:color w:val="000000"/>
          <w:lang w:val="de-CH" w:eastAsia="de-CH"/>
        </w:rPr>
        <w:fldChar w:fldCharType="end"/>
      </w:r>
      <w:r w:rsidR="007025C7">
        <w:rPr>
          <w:rFonts w:eastAsia="Times New Roman" w:cs="Arial"/>
          <w:color w:val="000000"/>
          <w:lang w:val="de-CH" w:eastAsia="de-CH"/>
        </w:rPr>
        <w:t>.</w:t>
      </w:r>
      <w:r w:rsidRPr="007E6221">
        <w:rPr>
          <w:rFonts w:eastAsia="Times New Roman" w:cs="Arial"/>
          <w:color w:val="000000"/>
          <w:lang w:val="de-CH" w:eastAsia="de-CH"/>
        </w:rPr>
        <w:t xml:space="preserve"> </w:t>
      </w:r>
      <w:r w:rsidR="007025C7">
        <w:rPr>
          <w:rFonts w:eastAsia="Times New Roman" w:cs="Arial"/>
          <w:color w:val="000000"/>
          <w:lang w:val="de-CH" w:eastAsia="de-CH"/>
        </w:rPr>
        <w:t>Neben dem Klimawandel haben</w:t>
      </w:r>
      <w:r w:rsidRPr="007E6221">
        <w:rPr>
          <w:rFonts w:eastAsia="Times New Roman" w:cs="Arial"/>
          <w:color w:val="000000"/>
          <w:lang w:val="de-CH" w:eastAsia="de-CH"/>
        </w:rPr>
        <w:t xml:space="preserve"> auch Landnutzungsänderungen, das Einschleppen invasiver Arten oder die Entwaldung</w:t>
      </w:r>
      <w:r w:rsidR="007025C7">
        <w:rPr>
          <w:rFonts w:eastAsia="Times New Roman" w:cs="Arial"/>
          <w:color w:val="000000"/>
          <w:lang w:val="de-CH" w:eastAsia="de-CH"/>
        </w:rPr>
        <w:t xml:space="preserve"> einen solchen Effekt</w:t>
      </w:r>
      <w:r w:rsidRPr="007E6221">
        <w:rPr>
          <w:rFonts w:eastAsia="Times New Roman" w:cs="Arial"/>
          <w:color w:val="000000"/>
          <w:lang w:val="de-CH" w:eastAsia="de-CH"/>
        </w:rPr>
        <w:fldChar w:fldCharType="begin" w:fldLock="1"/>
      </w:r>
      <w:r w:rsidRPr="007E6221">
        <w:rPr>
          <w:rFonts w:eastAsia="Times New Roman" w:cs="Arial"/>
          <w:color w:val="000000"/>
          <w:lang w:val="de-CH" w:eastAsia="de-CH"/>
        </w:rPr>
        <w:instrText>ADDIN CSL_CITATION {"citationItems":[{"id":"ITEM-1","itemData":{"DOI":"10.1111/1365-2745.12337","ISSN":"13652745","abstract":"Summary: Anthropogenic global change compromises forest resilience, with profound impacts to ecosystem functions and services. This synthesis paper reflects on the current understanding of forest resilience and potential tipping points under environmental change and explores challenges to assessing responses using experiments, observations and models. Forests are changing over a wide range of spatio-temporal scales, but it is often unclear whether these changes reduce resilience or represent a tipping point. Tipping points may arise from interactions across scales, as processes such as climate change, land-use change, invasive species or deforestation gradually erode resilience and increase vulnerability to extreme events. Studies covering interactions across different spatio-temporal scales are needed to further our understanding. Combinations of experiments, observations and process-based models could improve our ability to project forest resilience and tipping points under global change. We discuss uncertainties in changing CO2 concentration and quantifying tree mortality as examples. Synthesis.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management.","author":[{"dropping-particle":"","family":"Reyer","given":"Christopher P.O.","non-dropping-particle":"","parse-names":false,"suffix":""},{"dropping-particle":"","family":"Brouwers","given":"Niels","non-dropping-particle":"","parse-names":false,"suffix":""},{"dropping-particle":"","family":"Rammig","given":"Anja","non-dropping-particle":"","parse-names":false,"suffix":""},{"dropping-particle":"","family":"Brook","given":"Barry W.","non-dropping-particle":"","parse-names":false,"suffix":""},{"dropping-particle":"","family":"Epila","given":"Jackie","non-dropping-particle":"","parse-names":false,"suffix":""},{"dropping-particle":"","family":"Grant","given":"Robert F.","non-dropping-particle":"","parse-names":false,"suffix":""},{"dropping-particle":"","family":"Holmgren","given":"Milena","non-dropping-particle":"","parse-names":false,"suffix":""},{"dropping-particle":"","family":"Langerwisch","given":"Fanny","non-dropping-particle":"","parse-names":false,"suffix":""},{"dropping-particle":"","family":"Leuzinger","given":"Sebastian","non-dropping-particle":"","parse-names":false,"suffix":""},{"dropping-particle":"","family":"Lucht","given":"Wolfgang","non-dropping-particle":"","parse-names":false,"suffix":""},{"dropping-particle":"","family":"Medlyn","given":"Belinda","non-dropping-particle":"","parse-names":false,"suffix":""},{"dropping-particle":"","family":"Pfeifer","given":"Marion","non-dropping-particle":"","parse-names":false,"suffix":""},{"dropping-particle":"","family":"Steinkamp","given":"Jörg","non-dropping-particle":"","parse-names":false,"suffix":""},{"dropping-particle":"","family":"Vanderwel","given":"Mark C.","non-dropping-particle":"","parse-names":false,"suffix":""},{"dropping-particle":"","family":"Verbeeck","given":"Hans","non-dropping-particle":"","parse-names":false,"suffix":""},{"dropping-particle":"","family":"Villela","given":"Dora M.","non-dropping-particle":"","parse-names":false,"suffix":""}],"container-title":"Journal of Ecology","id":"ITEM-1","issue":"1","issued":{"date-parts":[["2015","1","1"]]},"page":"5-15","publisher":"Blackwell Publishing Ltd","title":"Forest resilience and tipping points at different spatio-temporal scales: Approaches and challenges","type":"article-journal","volume":"103"},"uris":["http://www.mendeley.com/documents/?uuid=19c97174-20ef-32f4-9a55-fd1d82d6fff2"]}],"mendeley":{"formattedCitation":"&lt;sup&gt;5&lt;/sup&gt;","plainTextFormattedCitation":"5","previouslyFormattedCitation":"&lt;sup&gt;5&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5</w:t>
      </w:r>
      <w:r w:rsidRPr="007E6221">
        <w:rPr>
          <w:rFonts w:eastAsia="Times New Roman" w:cs="Arial"/>
          <w:color w:val="000000"/>
          <w:lang w:val="de-CH" w:eastAsia="de-CH"/>
        </w:rPr>
        <w:fldChar w:fldCharType="end"/>
      </w:r>
      <w:r w:rsidRPr="007E6221">
        <w:rPr>
          <w:rFonts w:eastAsia="Times New Roman" w:cs="Arial"/>
          <w:color w:val="000000"/>
          <w:lang w:val="de-CH" w:eastAsia="de-CH"/>
        </w:rPr>
        <w:t>.</w:t>
      </w:r>
    </w:p>
    <w:p w14:paraId="3B77ADA6" w14:textId="0FE8BCE5" w:rsidR="007E6221" w:rsidRPr="007E6221" w:rsidRDefault="007E6221" w:rsidP="007E6221">
      <w:pPr>
        <w:spacing w:line="22" w:lineRule="atLeast"/>
        <w:jc w:val="both"/>
        <w:rPr>
          <w:rFonts w:eastAsia="Times New Roman" w:cs="Times New Roman"/>
          <w:color w:val="000000"/>
          <w:lang w:val="de-CH" w:eastAsia="de-CH"/>
        </w:rPr>
      </w:pPr>
      <w:r w:rsidRPr="007E6221">
        <w:rPr>
          <w:rFonts w:eastAsia="Times New Roman" w:cs="Arial"/>
          <w:color w:val="000000"/>
          <w:lang w:val="de-CH" w:eastAsia="de-CH"/>
        </w:rPr>
        <w:t>Obwohl Störungen eine wichtige Funktion in einem Waldökosystem übernehmen, können diese abhängig vom Zerstörungsgrad verheerende Auswirkungen haben</w:t>
      </w:r>
      <w:r w:rsidR="00EB3E0D">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{"citationItems":[{"id":"ITEM-1","itemData":{"DOI":"10.1016/0378-1127(94)90114-7","ISSN":"03781127","abstract":"The extensive literature on natural disturbance in forests is reviewed in terms of the hypotheses: (1) that disturbance is a major force moulding the development, structure and function of forests; and (b) that management of forests for all their benefits can be controlled so that the effects can be contained within those which result from natural disturbance. The causal factors of natural disturbance are both endogenous and exogenous; there are major difficulties in the formal characterization of disturbance and of recovery after disturbance. As to the latter, the acceptance of classical generalizations of the nature of succession has led to particular difficulties in the assessment and interpretation of recovery. Tree fall, which creates gaps, is fundamental to the development of many forests, and has been most intensively studied in tropical forests of Central America and the Amazon and in temperate forests of North America. Tree fall is part of autogenic change; mechanisms of gap-filling and subsequent growth and species composition vary widely with forest type and geography. Disturbance by wind is particularly difficult to characterize. Wind varies along a continuum; the blow-down of an individual tree may be mostly due to autogenic processes of ageing and decay, whereas catastrophic hurricanes and cyclones may be defined as wholly exogenous. Nevertheless, the resilience in terms of species diversity of tropical forests following catastrophic disturbance by hurricane is remarkable. A number of studies support the view that the tropical forest in hurricane-prone areas is not a stable steady-state ecosystem but rather that heterogeneity is maintained by catastrophe. The ability to regenerate by suckers and the coincidence of regenerative space and gregarious flowering are important components of the response of rainforest following disturbance. For much of the world, 'fire is the dominant fact of forest history'. As examples, fire and its effects are reviewed for the northern boreal forests, oak-pine forests and north-western sub-alpine forests of North America. The effect of fire on species composition varies with intensity and frequency. That, together with the popular view of fire as unnatural and therefore unacceptable, places great demands on management of forests for all of their benefits, including national parks and reserves. These difficulties also affect management of other ecosystems, such as Mediterranean-type shrublands and heathlands wh…","author":[{"dropping-particle":"","family":"Attiwill","given":"Peter M.","non-dropping-particle":"","parse-names":false,"suffix":""}],"container-title":"Forest Ecology and Management","id":"ITEM-1","issue":"2-3","issued":{"date-parts":[["1994","2","1"]]},"note":"Verworfen weil hauptsächlich über Störungsmechanismen und Management, nicht über Resilienzfaktoren und es ist über 25 Jahre alt","page":"247-300","publisher":"Elsevier","title":"The disturbance of forest ecosystems: the ecological basis for conservative management","type":"article-journal","volume":"63"},"uris":["http://www.mendeley.com/documents/?uuid=b0e0d908-75d6-36ab-b878-dd94abc2aed0"]}],"mendeley":{"formattedCitation":"&lt;sup&gt;6&lt;/sup&gt;","plainTextFormattedCitation":"6","previouslyFormattedCitation":"&lt;sup&gt;6&lt;/sup&gt;"},"properties":{"noteIndex":0},"schema":"https://github.com/citation-style-language/schema/raw/master/csl-citation.json"}</w:instrText>
      </w:r>
      <w:r w:rsidR="00EB3E0D">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6</w:t>
      </w:r>
      <w:r w:rsidR="00EB3E0D">
        <w:rPr>
          <w:rFonts w:eastAsia="Times New Roman" w:cs="Arial"/>
          <w:color w:val="000000"/>
          <w:lang w:val="de-CH" w:eastAsia="de-CH"/>
        </w:rPr>
        <w:fldChar w:fldCharType="end"/>
      </w:r>
      <w:r w:rsidRPr="007E6221">
        <w:rPr>
          <w:rFonts w:eastAsia="Times New Roman" w:cs="Arial"/>
          <w:color w:val="000000"/>
          <w:lang w:val="de-CH" w:eastAsia="de-CH"/>
        </w:rPr>
        <w:t xml:space="preserve">. Ein Wald, der unabhängig des Klimawandels einer hohen Störungsrate ausgesetzt ist, erholt sich schneller als nur selten gestörte Ökosysteme, deren Regeneration zum ursprünglichen Zustand Jahrzehnte bis Jahrhunderte dauert </w:t>
      </w:r>
      <w:r w:rsidRPr="007E6221">
        <w:rPr>
          <w:rFonts w:eastAsia="Times New Roman" w:cs="Arial"/>
          <w:color w:val="000000"/>
          <w:lang w:val="de-CH" w:eastAsia="de-CH"/>
        </w:rPr>
        <w:fldChar w:fldCharType="begin" w:fldLock="1"/>
      </w:r>
      <w:r w:rsidR="00D337D8">
        <w:rPr>
          <w:rFonts w:eastAsia="Times New Roman" w:cs="Arial"/>
          <w:color w:val="000000"/>
          <w:lang w:val="de-CH" w:eastAsia="de-CH"/>
        </w:rPr>
        <w:instrText>ADDIN CSL_CITATION {"citationItems":[{"id":"ITEM-1","itemData":{"DOI":"10.1038/ncomms4906","abstract":"The time taken for forested tropical ecosystems to re-establish post-disturbance is of widespread interest. Yet to date there has been no comparative study across tropical biomes to determine rates of forest re-growth, and how they vary through space and time. Here we present results from a meta-analysis of palaeoecological records that use fossil pollen as a proxy for vegetation change over the past 20,000 years. A total of 283 forest disturbance and recovery events, reported in 71 studies, are identified across four tropical regions. Results indicate that forests in Central America and Africa generally recover faster from past disturbances than those in South America and Asia, as do forests exposed to natural large infrequent disturbances compared with post-climatic and human impacts. Results also demonstrate that increasing frequency of disturbance events at a site through time elevates recovery rates, indicating a degree of resilience in forests exposed to recurrent past disturbance.","author":[{"dropping-particle":"","family":"Cole","given":"Lydia E S","non-dropping-particle":"","parse-names":false,"suffix":""},{"dropping-particle":"","family":"Bhagwat","given":"Shonil A","non-dropping-particle":"","parse-names":false,"suffix":""},{"dropping-particle":"","family":"Willis","given":"Katherine J","non-dropping-particle":"","parse-names":false,"suffix":""}],"container-title":"Nature Communications","id":"ITEM-1","issued":{"date-parts":[["2014"]]},"note":"Wiederherstellung\nder Wälder nach Störungen zu früherem Zustand dauert min. 20, oft über 200\nJahre; Sekundäre Wälder sind frühes Sukzessionsstadium und nicht weniger\nwertvoll als Primäre Wälder; Je grösser die Störungsrate, desto schneller die\nErholung; Erholung schneller nach natürlichen als menschlichen Störungen","title":"ARTICLE Recovery and resilience of tropical forests after disturbance","type":"article-journal"},"uris":["http://www.mendeley.com/documents/?uuid=dd315d05-132c-3f48-972d-49316f41bd5a"]}],"mendeley":{"formattedCitation":"&lt;sup&gt;7&lt;/sup&gt;","plainTextFormattedCitation":"7","previouslyFormattedCitation":"&lt;sup&gt;7&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7</w:t>
      </w:r>
      <w:r w:rsidRPr="007E6221">
        <w:rPr>
          <w:rFonts w:eastAsia="Times New Roman" w:cs="Arial"/>
          <w:color w:val="000000"/>
          <w:lang w:val="de-CH" w:eastAsia="de-CH"/>
        </w:rPr>
        <w:fldChar w:fldCharType="end"/>
      </w:r>
      <w:r w:rsidRPr="007E6221">
        <w:rPr>
          <w:rFonts w:eastAsia="Times New Roman" w:cs="Arial"/>
          <w:color w:val="000000"/>
          <w:lang w:val="de-CH" w:eastAsia="de-CH"/>
        </w:rPr>
        <w:t>.</w:t>
      </w:r>
    </w:p>
    <w:p w14:paraId="76C8D6D3" w14:textId="51865970" w:rsidR="00AD5C0D" w:rsidRPr="007E6221" w:rsidRDefault="007E6221" w:rsidP="007E6221">
      <w:pPr>
        <w:spacing w:line="22" w:lineRule="atLeast"/>
        <w:jc w:val="both"/>
        <w:rPr>
          <w:lang w:val="de-CH"/>
        </w:rPr>
      </w:pPr>
      <w:r w:rsidRPr="007E6221">
        <w:rPr>
          <w:rFonts w:eastAsia="Times New Roman" w:cs="Arial"/>
          <w:color w:val="000000"/>
          <w:lang w:val="de-CH" w:eastAsia="de-CH"/>
        </w:rPr>
        <w:t>Resilienz bezeichnet die Fähigkeit eines Waldes, nach einer Störung seinen Ursprungszustand wiederherzustellen, und wird durch Faktoren wie Artenkomposition, Grösse des Waldökosystems, Verjüngungsgrad und Nutzungsintensität beeinflusst</w:t>
      </w:r>
      <w:r w:rsidRPr="007E6221">
        <w:rPr>
          <w:rFonts w:eastAsia="Times New Roman" w:cs="Arial"/>
          <w:color w:val="000000"/>
          <w:lang w:val="de-CH" w:eastAsia="de-CH"/>
        </w:rPr>
        <w:fldChar w:fldCharType="begin" w:fldLock="1"/>
      </w:r>
      <w:r w:rsidR="00D337D8">
        <w:rPr>
          <w:rFonts w:eastAsia="Times New Roman" w:cs="Arial"/>
          <w:color w:val="000000"/>
          <w:lang w:val="de-CH" w:eastAsia="de-CH"/>
        </w:rPr>
        <w:instrText>ADDIN CSL_CITATION {"citationItems":[{"id":"ITEM-1","itemData":{"ISBN":"9292251376","abstract":"Glossary -- Foreword -- Summary for policy-makers -- Introduction -- Genetic diversity and resilience to change -- The relationships among biodiversity, productivity and function, and resilience and stability -- Resilience, biodiversity, and forest carbon dynamics -- Case studies of forest resilience and comparisons under climate change by forest biome -- Conclusions and ecological principles -- Literature cited.","author":[{"dropping-particle":"","family":"Thompson","given":"Ian","non-dropping-particle":"","parse-names":false,"suffix":""},{"dropping-particle":"","family":"Mackey","given":"Brendan","non-dropping-particle":"","parse-names":false,"suffix":""},{"dropping-particle":"","family":"McNulty","given":"Steven","non-dropping-particle":"","parse-names":false,"suffix":""},{"dropping-particle":"","family":"Mosseler","given":"Alex","non-dropping-particle":"","parse-names":false,"suffix":""},{"dropping-particle":"","family":"Secretariat of the convention on the biological diversity","given":"","non-dropping-particle":"","parse-names":false,"suffix":""}],"id":"ITEM-1","issued":{"date-parts":[["0"]]},"number-of-pages":"67","title":"Forest resilience, biodiversity, and climate change : a synthesis of the biodiversity, resilience, stabiblity relationship in forest ecosystems","type":"book"},"uris":["http://www.mendeley.com/documents/?uuid=7e0fcd81-d2f3-376d-a090-8088fa9829e3"]},{"id":"ITEM-2","itemData":{"DOI":"10.1007/s10021-019-00378-6","ISSN":"14350629","abstract":"Understanding and measuring forest resistance and resilience have emerged as key priorities in ecology and management, particularly to maintain forest functioning. The analysis of the factors involved in a forest’s ability to cope with disturbances is key in identifying forest vulnerability to environmental change. In this study, we apply a procedure based on combining pathway analyses of forest composition and structure with quantitative indices of resistance and resilience to disturbances. We applied our approach to boreal forests affected by a major spruce budworm outbreak in the province of Quebec (Canada). We aimed to identify the main patterns of forest dynamics and the environmental factors affecting these responses. To achieve this goal, we developed quantitative metrics of resistance and resilience. We then compared forests with different pre-disturbance conditions and explored the factors influencing their recovery following disturbance. We found that post-outbreak forest dynamics are determined by distinct resistance and resilience patterns according to dominant species and stand composition and structure. Black spruce forests are highly resistant to spruce budworm outbreaks, but this resistance is conditioned by the length of the defoliation period, with long outbreaks having the potential to lead the system to collapse. In contrast, balsam fir forests easily change to a different composition after outbreaks but are highly resilient when mixed with hardwood species. Overall, the severity of the disturbance and the tree species affected are the main drivers contributing to boreal forest resistance and resilience. Our procedure is valuable to understand post-disturbance dynamics of a broad range of communities and to guide management strategies focused on enhancing the resistance and resilience of the system.","author":[{"dropping-particle":"","family":"Sánchez-Pinillos","given":"Martina","non-dropping-particle":"","parse-names":false,"suffix":""},{"dropping-particle":"","family":"Leduc","given":"Alain","non-dropping-particle":"","parse-names":false,"suffix":""},{"dropping-particle":"","family":"Ameztegui","given":"Aitor","non-dropping-particle":"","parse-names":false,"suffix":""},{"dropping-particle":"","family":"Kneeshaw","given":"Daniel","non-dropping-particle":"","parse-names":false,"suffix":""},{"dropping-particle":"","family":"Lloret","given":"Francisco","non-dropping-particle":"","parse-names":false,"suffix":""},{"dropping-particle":"","family":"Coll","given":"Lluís","non-dropping-particle":"","parse-names":false,"suffix":""}],"container-title":"Ecosystems","id":"ITEM-2","issue":"8","issued":{"date-parts":[["2019","12","1"]]},"note":"Boreale Nadelwälder zerstört durch Insekten;\nMessen der Resilienz und Resistenz anhand Waldstruktur und -komposition vor\nStörung, im zerstörten und im finalen Zustand; Boreale Nadelwälder kollabieren\nschnell in baumlosen Zustand bei starker, häufiger Störung und sich ändernden\nBedingungen; Schlüsselarten bieten Stabilität","page":"1886-1901","publisher":"Springer","title":"Resistance, Resilience or Change: Post-disturbance Dynamics of Boreal Forests After Insect Outbreaks","type":"article-journal","volume":"22"},"uris":["http://www.mendeley.com/documents/?uuid=29c12208-8d57-3c8c-83a0-b203ff613c80"]}],"mendeley":{"formattedCitation":"&lt;sup&gt;8,9&lt;/sup&gt;","plainTextFormattedCitation":"8,9","previouslyFormattedCitation":"&lt;sup&gt;8,9&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8,9</w:t>
      </w:r>
      <w:r w:rsidRPr="007E6221">
        <w:rPr>
          <w:rFonts w:eastAsia="Times New Roman" w:cs="Arial"/>
          <w:color w:val="000000"/>
          <w:lang w:val="de-CH" w:eastAsia="de-CH"/>
        </w:rPr>
        <w:fldChar w:fldCharType="end"/>
      </w:r>
      <w:r w:rsidRPr="007E6221">
        <w:rPr>
          <w:rFonts w:eastAsia="Times New Roman" w:cs="Arial"/>
          <w:color w:val="000000"/>
          <w:lang w:val="de-CH" w:eastAsia="de-CH"/>
        </w:rPr>
        <w:t xml:space="preserve">. Beispielsweise wird </w:t>
      </w:r>
      <w:proofErr w:type="spellStart"/>
      <w:r w:rsidRPr="007E6221">
        <w:rPr>
          <w:rFonts w:eastAsia="Times New Roman" w:cs="Arial"/>
          <w:color w:val="000000"/>
          <w:lang w:val="de-CH" w:eastAsia="de-CH"/>
        </w:rPr>
        <w:t>Trockenheitsresilienz</w:t>
      </w:r>
      <w:proofErr w:type="spellEnd"/>
      <w:r w:rsidRPr="007E6221">
        <w:rPr>
          <w:rFonts w:eastAsia="Times New Roman" w:cs="Arial"/>
          <w:color w:val="000000"/>
          <w:lang w:val="de-CH" w:eastAsia="de-CH"/>
        </w:rPr>
        <w:t xml:space="preserve"> durch eine hohe </w:t>
      </w:r>
      <w:proofErr w:type="spellStart"/>
      <w:r w:rsidRPr="007E6221">
        <w:rPr>
          <w:rFonts w:eastAsia="Times New Roman" w:cs="Arial"/>
          <w:color w:val="000000"/>
          <w:lang w:val="de-CH" w:eastAsia="de-CH"/>
        </w:rPr>
        <w:t>Artendiversität</w:t>
      </w:r>
      <w:proofErr w:type="spellEnd"/>
      <w:r w:rsidRPr="007E6221">
        <w:rPr>
          <w:rFonts w:eastAsia="Times New Roman" w:cs="Arial"/>
          <w:color w:val="000000"/>
          <w:lang w:val="de-CH" w:eastAsia="de-CH"/>
        </w:rPr>
        <w:t>, die unter anderem vielfältige Wassertransportsysteme sicher stellt, begünstigt</w:t>
      </w:r>
      <w:r w:rsidRPr="007E6221">
        <w:rPr>
          <w:rFonts w:eastAsia="Times New Roman" w:cs="Arial"/>
          <w:color w:val="000000"/>
          <w:lang w:val="de-CH" w:eastAsia="de-CH"/>
        </w:rPr>
        <w:fldChar w:fldCharType="begin" w:fldLock="1"/>
      </w:r>
      <w:r>
        <w:rPr>
          <w:rFonts w:eastAsia="Times New Roman" w:cs="Arial"/>
          <w:color w:val="000000"/>
          <w:lang w:val="de-CH" w:eastAsia="de-CH"/>
        </w:rPr>
        <w:instrText>ADDIN CSL_CITATION {"citationItems":[{"id":"ITEM-1","itemData":{"DOI":"10.1038/s41586-018-0539-7","ISSN":"14764687","abstract":"Plants influence the atmosphere through fluxes of carbon, water and energy 1 , and can intensify drought through land–atmosphere feedback effects 2–4 . The diversity of plant functional traits in forests, especially physiological traits related to water (hydraulic) transport, may have a critical role in land–atmosphere feedback, particularly during drought. Here we combine 352 site-years of eddy covariance measurements from 40 forest sites, remote-sensing observations of plant water content and plant functional-trait data to test whether the diversity in plant traits affects the response of the ecosystem to drought. We find evidence that higher hydraulic diversity buffers variation in ecosystem flux during dry periods across temperate and boreal forests. Hydraulic traits were the predominant significant predictors of cross-site patterns in drought response. By contrast, standard leaf and wood traits, such as specific leaf area and wood density, had little explanatory power. Our results demonstrate that diversity in the hydraulic traits of trees mediates ecosystem resilience to drought and is likely to have an important role in future ecosystem–atmosphere feedback effects in a changing climate.","author":[{"dropping-particle":"","family":"Anderegg","given":"William R.L.","non-dropping-particle":"","parse-names":false,"suffix":""},{"dropping-particle":"","family":"Konings","given":"Alexandra G.","non-dropping-particle":"","parse-names":false,"suffix":""},{"dropping-particle":"","family":"Trugman","given":"Anna T.","non-dropping-particle":"","parse-names":false,"suffix":""},{"dropping-particle":"","family":"Yu","given":"Kailiang","non-dropping-particle":"","parse-names":false,"suffix":""},{"dropping-particle":"","family":"Bowling","given":"David R.","non-dropping-particle":"","parse-names":false,"suffix":""},{"dropping-particle":"","family":"Gabbitas","given":"Robert","non-dropping-particle":"","parse-names":false,"suffix":""},{"dropping-particle":"","family":"Karp","given":"Daniel S.","non-dropping-particle":"","parse-names":false,"suffix":""},{"dropping-particle":"","family":"Pacala","given":"Stephen","non-dropping-particle":"","parse-names":false,"suffix":""},{"dropping-particle":"","family":"Sperry","given":"John S.","non-dropping-particle":"","parse-names":false,"suffix":""},{"dropping-particle":"","family":"Sulman","given":"Benjamin N.","non-dropping-particle":"","parse-names":false,"suffix":""},{"dropping-particle":"","family":"Zenes","given":"Nicole","non-dropping-particle":"","parse-names":false,"suffix":""}],"container-title":"Nature","id":"ITEM-1","issue":"7724","issued":{"date-parts":[["2018","9","27"]]},"note":"à       Einfluss v. div. (hydr.) Pflanzeneigenschaften auf Reaktion v. Ökosystemen auf Dürre \nà       Statistische Auswertung \nà       Hohe Pflanzendiv. im Wald = Stabilität &amp;amp; div. Eigenschaften (v.a. H2O-Transport-Syst., (oft hoch in mittel bis boreale Wälder)) = schnellere Erholung","page":"538-541","publisher":"Nature Publishing Group","title":"Hydraulic diversity of forests regulates ecosystem resilience during drought","type":"article","volume":"561"},"uris":["http://www.mendeley.com/documents/?uuid=f6c847e2-6776-3502-bd3c-845a92cee17c"]}],"mendeley":{"formattedCitation":"&lt;sup&gt;10&lt;/sup&gt;","plainTextFormattedCitation":"10","previouslyFormattedCitation":"&lt;sup&gt;10&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10</w:t>
      </w:r>
      <w:r w:rsidRPr="007E6221">
        <w:rPr>
          <w:rFonts w:eastAsia="Times New Roman" w:cs="Arial"/>
          <w:color w:val="000000"/>
          <w:lang w:val="de-CH" w:eastAsia="de-CH"/>
        </w:rPr>
        <w:fldChar w:fldCharType="end"/>
      </w:r>
      <w:r w:rsidRPr="007E6221">
        <w:rPr>
          <w:rFonts w:eastAsia="Times New Roman" w:cs="Arial"/>
          <w:color w:val="000000"/>
          <w:lang w:val="de-CH" w:eastAsia="de-CH"/>
        </w:rPr>
        <w:t>. Nach einem Feuer hängt die Widerstandsfähigkeit des Waldes v</w:t>
      </w:r>
      <w:r w:rsidR="007025C7">
        <w:rPr>
          <w:rFonts w:eastAsia="Times New Roman" w:cs="Arial"/>
          <w:color w:val="000000"/>
          <w:lang w:val="de-CH" w:eastAsia="de-CH"/>
        </w:rPr>
        <w:t>on der Art des</w:t>
      </w:r>
      <w:r w:rsidRPr="007E6221">
        <w:rPr>
          <w:rFonts w:eastAsia="Times New Roman" w:cs="Arial"/>
          <w:color w:val="000000"/>
          <w:lang w:val="de-CH" w:eastAsia="de-CH"/>
        </w:rPr>
        <w:t xml:space="preserve"> Feuer</w:t>
      </w:r>
      <w:r w:rsidR="007025C7">
        <w:rPr>
          <w:rFonts w:eastAsia="Times New Roman" w:cs="Arial"/>
          <w:color w:val="000000"/>
          <w:lang w:val="de-CH" w:eastAsia="de-CH"/>
        </w:rPr>
        <w:t>s</w:t>
      </w:r>
      <w:r w:rsidRPr="007E6221">
        <w:rPr>
          <w:rFonts w:eastAsia="Times New Roman" w:cs="Arial"/>
          <w:color w:val="000000"/>
          <w:lang w:val="de-CH" w:eastAsia="de-CH"/>
        </w:rPr>
        <w:t xml:space="preserve"> selbst und von der Zusammensetzung des Ökosystems ab</w:t>
      </w:r>
      <w:r w:rsidRPr="007E6221">
        <w:rPr>
          <w:rFonts w:eastAsia="Times New Roman" w:cs="Arial"/>
          <w:color w:val="000000"/>
          <w:lang w:val="de-CH" w:eastAsia="de-CH"/>
        </w:rPr>
        <w:fldChar w:fldCharType="begin" w:fldLock="1"/>
      </w:r>
      <w:r w:rsidR="0090638A">
        <w:rPr>
          <w:rFonts w:eastAsia="Times New Roman" w:cs="Arial"/>
          <w:color w:val="000000"/>
          <w:lang w:val="de-CH" w:eastAsia="de-CH"/>
        </w:rPr>
        <w:instrText>ADDIN CSL_CITATION {"citationItems":[{"id":"ITEM-1","itemData":{"DOI":"10.1111/ele.12889","ISSN":"14610248","abstract":"Forest resilience to climate change is a global concern given the potential effects of increased disturbance activity, warming temperatures and increased moisture stress on plants. We used a multi-regional dataset of 1485 sites across 52 wildfires from the US Rocky Mountains to ask if and how changing climate over the last several decades impacted post-fire tree regeneration, a key indicator of forest resilience. Results highlight significant decreases in tree regeneration in the 21st century. Annual moisture deficits were significantly greater from 2000 to 2015 as compared to 1985–1999, suggesting increasingly unfavourable post-fire growing conditions, corresponding to significantly lower seedling densities and increased regeneration failure. Dry forests that already occur at the edge of their climatic tolerance are most prone to conversion to non-forests after wildfires. Major climate-induced reduction in forest density and extent has important consequences for a myriad of ecosystem services now and in the future.","author":[{"dropping-particle":"","family":"Stevens-Rumann","given":"Camille S.","non-dropping-particle":"","parse-names":false,"suffix":""},{"dropping-particle":"","family":"Kemp","given":"Kerry B.","non-dropping-particle":"","parse-names":false,"suffix":""},{"dropping-particle":"","family":"Higuera","given":"Philip E.","non-dropping-particle":"","parse-names":false,"suffix":""},{"dropping-particle":"","family":"Harvey","given":"Brian J.","non-dropping-particle":"","parse-names":false,"suffix":""},{"dropping-particle":"","family":"Rother","given":"Monica T.","non-dropping-particle":"","parse-names":false,"suffix":""},{"dropping-particle":"","family":"Donato","given":"Daniel C.","non-dropping-particle":"","parse-names":false,"suffix":""},{"dropping-particle":"","family":"Morgan","given":"Penelope","non-dropping-particle":"","parse-names":false,"suffix":""},{"dropping-particle":"","family":"Veblen","given":"Thomas T.","non-dropping-particle":"","parse-names":false,"suffix":""}],"container-title":"Ecology Letters","id":"ITEM-1","issue":"2","issued":{"date-parts":[["2019","2","1"]]},"page":"243-252","publisher":"Blackwell Publishing Ltd","title":"Evidence for declining forest resilience to wildfires under climate change","type":"article","volume":"21"},"uris":["http://www.mendeley.com/documents/?uuid=448b0003-f863-3fed-91b4-4ec6d306b62c"]},{"id":"ITEM-2","itemData":{"DOI":"10.1098/rstb.2007.0013","ISSN":"09628452","abstract":"The only fully coupled land-atmosphere global climate model predicts a widespread dieback of Amazonian forest cover through reduced precipitation. Although these predictions are controversial, the structural and compositional resilience of Amazonian forests may also have been overestimated, as current vegetation models fail to consider the potential role of fire in the degradation of forest ecosystems. We examine forest structure and composition in the Arapiuns River basin in the central Brazilian Amazon, evaluating post-fire forest recovery and the consequences of recurrent fires for the patterns of dominance of tree species. We surveyed tree plots in unburned and once-burned forests examined 1, 3 and 9 years after an unprecedented fire event, in twice-burned forests examined 3 and 9 years after fire and in thrice-burned forests examined 5 years after the most recent fire event. The number of trees recorded in unburned primary forest control plots was stable over time. However, in both once- and twice-burned forest plots, there was a marked recruitment into the 10-20cm diameter at breast height tree size classes between 3 and 9 years post-fire. Considering tree assemblage composition 9 years after the first fire contact, we observed (i) a clear pattern of community turnover among small trees and the most abundant shrubs and saplings, and (ii) that species that were common in any of the four burn treatments (unburned, once-, twice- and thrice-burned) were often rare or entirely absent in other burn treatments. We conclude that episodic wildfires can lead to drastic changes in forest structure and composition, with cascading shifts in forest composition following each additional fire event. Finally, we use these results to evaluate the validity of the savannization paradigm. © 2008 The Royal Society.","author":[{"dropping-particle":"","family":"Barlow","given":"Jos","non-dropping-particle":"","parse-names":false,"suffix":""},{"dropping-particle":"","family":"Peres","given":"Carlos A.","non-dropping-particle":"","parse-names":false,"suffix":""}],"container-title":"Philosophical Transactions of the Royal Society B: Biological Sciences","id":"ITEM-2","issue":"1498","issued":{"date-parts":[["2008","5","27"]]},"note":"- Untersuchung der Waldstruktur und -zusammensetzung nach Bränden. Bewertung der Erholung und der Folgen wiederkehrender Brände. \n\n- Waldbrände können zu wichtigen Veränderungen in der Waldstruktur und -zusammensetzung führen. \n\n\n- Savannisierungsparadigma","page":"1787-1794","publisher":"Royal Society","title":"Fire-mediated dieback and compositional cascade in an Amazonian forest","type":"paper-conference","volume":"363"},"uris":["http://www.mendeley.com/documents/?uuid=781a41f2-fd4c-32e3-8de3-f23a2d920a4a"]}],"mendeley":{"formattedCitation":"&lt;sup&gt;3,11&lt;/sup&gt;","plainTextFormattedCitation":"3,11","previouslyFormattedCitation":"&lt;sup&gt;3,11&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3,11</w:t>
      </w:r>
      <w:r w:rsidRPr="007E6221">
        <w:rPr>
          <w:rFonts w:eastAsia="Times New Roman" w:cs="Arial"/>
          <w:color w:val="000000"/>
          <w:lang w:val="de-CH" w:eastAsia="de-CH"/>
        </w:rPr>
        <w:fldChar w:fldCharType="end"/>
      </w:r>
      <w:r w:rsidRPr="007E6221">
        <w:rPr>
          <w:rFonts w:eastAsia="Times New Roman" w:cs="Arial"/>
          <w:color w:val="000000"/>
          <w:lang w:val="de-CH" w:eastAsia="de-CH"/>
        </w:rPr>
        <w:t>. Wie stark eine Waldfläche von einem Sturm betroffen ist, hängt unter anderem von der Windgeschwindigkeit, den Wetterkonditionen vor der Störung, den Bodeneigenschaften oder der Topographie ab</w:t>
      </w:r>
      <w:r w:rsidR="00EB3E0D">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{"citationItems":[{"id":"ITEM-1","itemData":{"DOI":"10.1016/j.agrformet.2009.08.010","ISSN":"01681923","abstract":"The most severe damage to forests in Central Europe occurs during winter storms caused by Northern Hemispheric mid-latitude cyclones. Storm events in the winter semesters of the past 150 years were investigated to quantify changes and evaluate whether damage rates, forest properties and climate had changed. Records of damage extent (wind throw/snap/breakage), forest area and growing stock in Switzerland were comparatively analysed. Storm damage (m3) was 17 times greater during the period 1958-2007 than during the period 1908-1957 and 22 times greater than in the period 1858-1907. Forest area in Switzerland has increased by 63% and growing stock by 292% over the past 150 years. The significant recent increase in storm damage could only partially be explained by increased growing stock. Weather reports prior to storms indicated that severe storm damage occurred almost always when soils were unfrozen (96%) and wet (96%). During the observation period mean winter temperature has increased by nearly 2 °C and winter precipitation has increased by nearly 50% in the study region. In the Zurich region, daily maximum gust wind speed and storm damage were compared. Maximum gust wind speed above 35 m s-1 was associated with extensive storm damage. Catastrophic storm damage and maximum gust wind speed measured during storms have increased during recent decades. In conclusion, increasing growing stock, warm winter temperature and high precipitation, and even more markedly, increasing maximum gust wind speed have all contributed to the recent increase in windstorm damage to forests. © 2009 Elsevier B.V. All rights reserved.","author":[{"dropping-particle":"","family":"Usbeck","given":"Tilo","non-dropping-particle":"","parse-names":false,"suffix":""},{"dropping-particle":"","family":"Wohlgemuth","given":"Thomas","non-dropping-particle":"","parse-names":false,"suffix":""},{"dropping-particle":"","family":"Dobbertin","given":"Matthias","non-dropping-particle":"","parse-names":false,"suffix":""},{"dropping-particle":"","family":"Pfister","given":"Christian","non-dropping-particle":"","parse-names":false,"suffix":""},{"dropping-particle":"","family":"Bürgi","given":"Anton","non-dropping-particle":"","parse-names":false,"suffix":""},{"dropping-particle":"","family":"Rebetez","given":"Martine","non-dropping-particle":"","parse-names":false,"suffix":""}],"container-title":"Agricultural and Forest Meteorology","id":"ITEM-1","issue":"1","issued":{"date-parts":[["2010","1","15"]]},"page":"47-55","title":"Increasing storm damage to forests in Switzerland from 1858 to 2007","type":"article-journal","volume":"150"},"uris":["http://www.mendeley.com/documents/?uuid=b329b08f-9da8-3c70-ac80-bed6d2e209fc"]}],"mendeley":{"formattedCitation":"&lt;sup&gt;2&lt;/sup&gt;","plainTextFormattedCitation":"2","previouslyFormattedCitation":"&lt;sup&gt;2&lt;/sup&gt;"},"properties":{"noteIndex":0},"schema":"https://github.com/citation-style-language/schema/raw/master/csl-citation.json"}</w:instrText>
      </w:r>
      <w:r w:rsidR="00EB3E0D">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2</w:t>
      </w:r>
      <w:r w:rsidR="00EB3E0D">
        <w:rPr>
          <w:rFonts w:eastAsia="Times New Roman" w:cs="Arial"/>
          <w:color w:val="000000"/>
          <w:lang w:val="de-CH" w:eastAsia="de-CH"/>
        </w:rPr>
        <w:fldChar w:fldCharType="end"/>
      </w:r>
      <w:r w:rsidRPr="007E6221">
        <w:rPr>
          <w:rFonts w:eastAsia="Times New Roman" w:cs="Arial"/>
          <w:color w:val="000000"/>
          <w:lang w:val="de-CH" w:eastAsia="de-CH"/>
        </w:rPr>
        <w:t>. Grundsätzlich kann sich eine Waldfläche nach einem Sturm gut erholen, da dieser eine verjüngende Wirkung hat</w:t>
      </w:r>
      <w:r w:rsidRPr="007E6221">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{"citationItems":[{"id":"ITEM-1","itemData":{"abstract":"Stürme führen auch in Natur- und Urwäldern zu Windwürfen. Dies lässt sich in den wenigen ursprüng- lichen, zumeist unter Schutz stehenden Waldgebieten Nord-, Ost- und Südosteuropas beobachten. Nach «Vivian» und «Lothar» sind viele Fachleute aus der Schweiz daran interessiert, mehr über natürliche Entwicklungsprozesse in Natur- und Urwäldern zu erfahren. Das drückt sich in der zunehmenden Anzahl an Fachreisen in mittelosteuropäische Urwälder aus (z. B. [11], Abb.1). Wir haben darum Er- fahrungen und Forschungsergebnisse, die nach Windwürfen in natürlich sich entwickelnden Wald- beständen gewonnen wurden, zusammengefasst.","author":[{"dropping-particle":"","family":"Lässig","given":"Reinhard","non-dropping-particle":"","parse-names":false,"suffix":""},{"dropping-particle":"","family":"Motschalow","given":"Stansilaw A.","non-dropping-particle":"","parse-names":false,"suffix":""}],"container-title":"Wald und Holz","id":"ITEM-1","issued":{"date-parts":[["2000"]]},"note":"Regeneration Urwälder Europas nach Sturm? Zusammenf. verschiedener Erkenntnisse. Nach Sturm Baumartenspektrum hoch -&amp;gt; Samenangebot für Besiedelung gross. Windwurf = Waldverjüngung. Totholz wichtige Lebensgrundlage. Relevant weil Wichtigkeit Sturm und dass sich Wald nicht anpasst.","page":"39-43","title":"Vielfältige Strukturen nach Windwurf in Naturwäldern","type":"article-journal","volume":"12"},"uris":["http://www.mendeley.com/documents/?uuid=1c450594-abbe-4e6f-b169-d6d4124d8960"]}],"mendeley":{"formattedCitation":"&lt;sup&gt;12&lt;/sup&gt;","plainTextFormattedCitation":"12","previouslyFormattedCitation":"&lt;sup&gt;12&lt;/sup&gt;"},"properties":{"noteIndex":0},"schema":"https://github.com/citation-style-language/schema/raw/master/csl-citation.json"}</w:instrText>
      </w:r>
      <w:r w:rsidRPr="007E6221">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12</w:t>
      </w:r>
      <w:r w:rsidRPr="007E6221">
        <w:rPr>
          <w:rFonts w:eastAsia="Times New Roman" w:cs="Arial"/>
          <w:color w:val="000000"/>
          <w:lang w:val="de-CH" w:eastAsia="de-CH"/>
        </w:rPr>
        <w:fldChar w:fldCharType="end"/>
      </w:r>
      <w:r w:rsidRPr="007E6221">
        <w:rPr>
          <w:rFonts w:eastAsia="Times New Roman" w:cs="Arial"/>
          <w:color w:val="000000"/>
          <w:lang w:val="de-CH" w:eastAsia="de-CH"/>
        </w:rPr>
        <w:t xml:space="preserve">. Sind die Störungen zu stark oder die Wälder nicht resilient genug, können sie bestimmte </w:t>
      </w:r>
      <w:proofErr w:type="spellStart"/>
      <w:r w:rsidRPr="007E6221">
        <w:rPr>
          <w:rFonts w:eastAsia="Times New Roman" w:cs="Arial"/>
          <w:color w:val="000000"/>
          <w:lang w:val="de-CH" w:eastAsia="de-CH"/>
        </w:rPr>
        <w:t>Tipping</w:t>
      </w:r>
      <w:proofErr w:type="spellEnd"/>
      <w:r w:rsidRPr="007E6221">
        <w:rPr>
          <w:rFonts w:eastAsia="Times New Roman" w:cs="Arial"/>
          <w:color w:val="000000"/>
          <w:lang w:val="de-CH" w:eastAsia="de-CH"/>
        </w:rPr>
        <w:t xml:space="preserve"> Points überschreiten. Dann kann der ursprüngliche Zustand des Waldes nicht wieder erreicht werden oder das Ökosystem wechselt sogar in einen baumlosen Zustand</w:t>
      </w:r>
      <w:r w:rsidRPr="007E6221">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{"citationItems":[{"id":"ITEM-1","itemData":{"DOI":"10.1098/rstb.2019.0115","ISSN":"14712970","abstract":"Forest dynamics are driven by top-down changes in climate and bottom-up positive (destabilizing) and negative (stabilizing) biophysical feedbacks involving disturbance and biotic interactions. When positive feedbacks prevail, the resulting self-propagating changes can potentially shift the system into a new state, even in the absence of climate change. Conversely, negative feedbacks help maintain a dynamic equilibrium that allows communities to recover their pre-disturbance characteristics. We examine palaeoenvironmental records from temperate forests to assess the nature of long-term stability and regime shifts under a broader range of environmental forcings than can be observed at present. Forest histories from northwestern USA, Patagonia, Tasmania and New Zealand show long-term trajectories that were governed by (i) the biophysical template, (ii) characteristics of climate and disturbance, (iii) historical legacies that condition the ecological capacity to respond to subsequent disturbances, and (iv) thresholds that act as irreversible barriers. Attention only to current forest conditions overlooks the significance of history in creating path dependency, the importance of individual extreme events, and the inherent feedbacks that force an ecosystem into reorganization. A long-time perspective on ecological resilience helps guide conservation strategies that focus on environmental preservation as well as identify vulnerable species and ecosystems to future climate change.","author":[{"dropping-particle":"","family":"Iglesias","given":"Virginia","non-dropping-particle":"","parse-names":false,"suffix":""},{"dropping-particle":"","family":"Whitlock","given":"Cathy","non-dropping-particle":"","parse-names":false,"suffix":""}],"container-title":"Philosophical Transactions of the Royal Society B: Biological Sciences","id":"ITEM-1","issue":"1794","issued":{"date-parts":[["2020"]]},"note":"Wälder als komplexe, dynamische Systeme;\nResiliente Ökosysteme bleiben im Gleichgewicht, fallen nicht in neuen Zustand\nnach Störung; Resilienz variiert mit der Waldkomposition; Aktueller Wandel und\nStörungen sind stärker als je zuvor, Reaktion der Wälder schwer vorhersehbar\nmit alten Daten","title":"If the trees burn, is the forest lost? Past dynamics in temperate forests help inform management strategies","type":"article-journal","volume":"375"},"uris":["http://www.mendeley.com/documents/?uuid=24278b6b-1117-3ed4-9820-f1ac884e6983"]}],"mendeley":{"formattedCitation":"&lt;sup&gt;13&lt;/sup&gt;","plainTextFormattedCitation":"13","previouslyFormattedCitation":"&lt;sup&gt;13&lt;/sup&gt;"},"properties":{"noteIndex":0},"schema":"https://github.com/citation-style-language/schema/raw/master/csl-citation.json"}</w:instrText>
      </w:r>
      <w:r w:rsidRPr="007E6221">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13</w:t>
      </w:r>
      <w:r w:rsidRPr="007E6221">
        <w:rPr>
          <w:rFonts w:eastAsia="Times New Roman" w:cs="Arial"/>
          <w:color w:val="000000"/>
          <w:lang w:val="de-CH" w:eastAsia="de-CH"/>
        </w:rPr>
        <w:fldChar w:fldCharType="end"/>
      </w:r>
      <w:r w:rsidRPr="007E6221">
        <w:rPr>
          <w:rFonts w:eastAsia="Times New Roman" w:cs="Arial"/>
          <w:color w:val="000000"/>
          <w:lang w:val="de-CH" w:eastAsia="de-CH"/>
        </w:rPr>
        <w:t>. Wälder mit grossen und alten Bäume sind dabei besonders gefährdet</w:t>
      </w:r>
      <w:r w:rsidRPr="007E6221">
        <w:rPr>
          <w:rFonts w:eastAsia="Times New Roman" w:cs="Arial"/>
          <w:color w:val="000000"/>
          <w:lang w:val="de-CH" w:eastAsia="de-CH"/>
        </w:rPr>
        <w:fldChar w:fldCharType="begin" w:fldLock="1"/>
      </w:r>
      <w:r w:rsidRPr="007E6221">
        <w:rPr>
          <w:rFonts w:eastAsia="Times New Roman" w:cs="Arial"/>
          <w:color w:val="000000"/>
          <w:lang w:val="de-CH" w:eastAsia="de-CH"/>
        </w:rPr>
        <w:instrText>ADDIN CSL_CITATION {"citationItems":[{"id":"ITEM-1","itemData":{"DOI":"10.1016/j.foreco.2009.09.001","ISSN":"03781127","abstract":"Greenhouse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Management","id":"ITEM-1","issue":"4","issued":{"date-parts":[["2010","2","5"]]},"note":"à       globaler Überblick zu aktueller Baummortalität wegen klimatischem Wasserstress und warmen Temp. in Wäldern schaffen, Wissenslücken aufzeigen \nà       Literaturrecherche (ab 1970-2009) \nà       Literaturherausgabe nimmt zu, nicht nur in H2O-limitierten Regionen, abh. v. Baumdichte, Zeit, Grösse &amp;amp; Alter","page":"660-684","title":"A global overview of drought and heat-induced tree mortality reveals emerging climate change risks for forests","type":"article-journal","volume":"259"},"uris":["http://www.mendeley.com/documents/?uuid=de0ae999-8499-3d01-ae83-f7c7c3470640"]}],"mendeley":{"formattedCitation":"&lt;sup&gt;1&lt;/sup&gt;","plainTextFormattedCitation":"1","previouslyFormattedCitation":"&lt;sup&gt;1&lt;/sup&gt;"},"properties":{"noteIndex":0},"schema":"https://github.com/citation-style-language/schema/raw/master/csl-citation.json"}</w:instrText>
      </w:r>
      <w:r w:rsidRPr="007E6221">
        <w:rPr>
          <w:rFonts w:eastAsia="Times New Roman" w:cs="Arial"/>
          <w:color w:val="000000"/>
          <w:lang w:val="de-CH" w:eastAsia="de-CH"/>
        </w:rPr>
        <w:fldChar w:fldCharType="separate"/>
      </w:r>
      <w:r w:rsidRPr="007E6221">
        <w:rPr>
          <w:rFonts w:eastAsia="Times New Roman" w:cs="Arial"/>
          <w:noProof/>
          <w:color w:val="000000"/>
          <w:vertAlign w:val="superscript"/>
          <w:lang w:val="de-CH" w:eastAsia="de-CH"/>
        </w:rPr>
        <w:t>1</w:t>
      </w:r>
      <w:r w:rsidRPr="007E6221">
        <w:rPr>
          <w:rFonts w:eastAsia="Times New Roman" w:cs="Arial"/>
          <w:color w:val="000000"/>
          <w:lang w:val="de-CH" w:eastAsia="de-CH"/>
        </w:rPr>
        <w:fldChar w:fldCharType="end"/>
      </w:r>
      <w:r w:rsidRPr="007E6221">
        <w:rPr>
          <w:rFonts w:eastAsia="Times New Roman" w:cs="Arial"/>
          <w:color w:val="000000"/>
          <w:lang w:val="de-CH" w:eastAsia="de-CH"/>
        </w:rPr>
        <w:t xml:space="preserve">, weshalb Primärwälder durch </w:t>
      </w:r>
      <w:r w:rsidRPr="006C47A3">
        <w:rPr>
          <w:rFonts w:eastAsia="Times New Roman" w:cs="Arial"/>
          <w:color w:val="000000"/>
          <w:lang w:val="en-US" w:eastAsia="de-CH"/>
        </w:rPr>
        <w:t>Policies</w:t>
      </w:r>
      <w:r w:rsidRPr="007E6221">
        <w:rPr>
          <w:rFonts w:eastAsia="Times New Roman" w:cs="Arial"/>
          <w:color w:val="000000"/>
          <w:lang w:val="de-CH" w:eastAsia="de-CH"/>
        </w:rPr>
        <w:t xml:space="preserve"> geschützt werden müssen</w:t>
      </w:r>
      <w:r w:rsidRPr="007E6221">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{"citationItems":[{"id":"ITEM-1","itemData":{"DOI":"10.1046/j.1523-1739.2001.015003578.x","ISSN":"08888892","abstract":"Policies to reduce global warming by offering credits for carbon sequestration have neglected the effects of forest management on biodiversity. I review properties of forest ecosystems and management options for enhancing the resistance and resilience of forests to climate change. Although forests, as a class, have proved resilient to past changes in climate, today's fragmented and degraded forests are more vulnerable. Adaptation of species to climate change can occur through phenotypic plasticity, evolution, or migration to suitable sites, with the latter probably the most common response in the past. Among the land-use and management practices likely to maintain forest biodiversity and ecological functions during climate change are (1) representing forest types across environmental gradients in reserves; (2) protecting climatic refugia at multiple scales; (3) protecting primary forests; (4) avoiding fragmentation and providing connectivity, especially parallel to climatic gradients; (5) providing buffer zones for adjustment of reserve boundaries; (6) practicing low-intensity forestry and preventing conversion of natural forests to plantations; (7) maintaining natural fire regimes; (8) maintaining diverse gene pools; and (9) identifying and protecting functional groups and keystone species. Good forest management in a time of rapidly changing climate differs little from good forest management under more static conditions, but there is increased emphasis on protecting climatic refugia and providing connectivity.","author":[{"dropping-particle":"","family":"Noss","given":"R. F.","non-dropping-particle":"","parse-names":false,"suffix":""}],"container-title":"Conservation Biology","id":"ITEM-1","issued":{"date-parts":[["2001"]]},"note":"Yes","title":"Beyond kyoto: Forest management in a time of rapid climate change","type":"article"},"uris":["http://www.mendeley.com/documents/?uuid=03dd97a3-a710-476d-b6f7-4bdc1329de96"]}],"mendeley":{"formattedCitation":"&lt;sup&gt;14&lt;/sup&gt;","plainTextFormattedCitation":"14","previouslyFormattedCitation":"&lt;sup&gt;14&lt;/sup&gt;"},"properties":{"noteIndex":0},"schema":"https://github.com/citation-style-language/schema/raw/master/csl-citation.json"}</w:instrText>
      </w:r>
      <w:r w:rsidRPr="007E6221">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14</w:t>
      </w:r>
      <w:r w:rsidRPr="007E6221">
        <w:rPr>
          <w:rFonts w:eastAsia="Times New Roman" w:cs="Arial"/>
          <w:color w:val="000000"/>
          <w:lang w:val="de-CH" w:eastAsia="de-CH"/>
        </w:rPr>
        <w:fldChar w:fldCharType="end"/>
      </w:r>
      <w:r w:rsidRPr="007E6221">
        <w:rPr>
          <w:rFonts w:eastAsia="Times New Roman" w:cs="Arial"/>
          <w:color w:val="000000"/>
          <w:lang w:val="de-CH" w:eastAsia="de-CH"/>
        </w:rPr>
        <w:t xml:space="preserve">. Sowohl auf internationaler als auch auf nationaler Ebene existieren </w:t>
      </w:r>
      <w:r w:rsidRPr="006C47A3">
        <w:rPr>
          <w:rFonts w:eastAsia="Times New Roman" w:cs="Arial"/>
          <w:color w:val="000000"/>
          <w:lang w:val="en-US" w:eastAsia="de-CH"/>
        </w:rPr>
        <w:t>Policies</w:t>
      </w:r>
      <w:r w:rsidRPr="007E6221">
        <w:rPr>
          <w:rFonts w:eastAsia="Times New Roman" w:cs="Arial"/>
          <w:color w:val="000000"/>
          <w:lang w:val="de-CH" w:eastAsia="de-CH"/>
        </w:rPr>
        <w:t xml:space="preserve"> und Gesetze, die den Waldschutz gewährleisten sollen</w:t>
      </w:r>
      <w:r w:rsidRPr="007E6221">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{"citationItems":[{"id":"ITEM-1","itemData":{"DOI":"10.1046/j.1523-1739.2001.015003578.x","ISSN":"08888892","abstract":"Policies to reduce global warming by offering credits for carbon sequestration have neglected the effects of forest management on biodiversity. I review properties of forest ecosystems and management options for enhancing the resistance and resilience of forests to climate change. Although forests, as a class, have proved resilient to past changes in climate, today's fragmented and degraded forests are more vulnerable. Adaptation of species to climate change can occur through phenotypic plasticity, evolution, or migration to suitable sites, with the latter probably the most common response in the past. Among the land-use and management practices likely to maintain forest biodiversity and ecological functions during climate change are (1) representing forest types across environmental gradients in reserves; (2) protecting climatic refugia at multiple scales; (3) protecting primary forests; (4) avoiding fragmentation and providing connectivity, especially parallel to climatic gradients; (5) providing buffer zones for adjustment of reserve boundaries; (6) practicing low-intensity forestry and preventing conversion of natural forests to plantations; (7) maintaining natural fire regimes; (8) maintaining diverse gene pools; and (9) identifying and protecting functional groups and keystone species. Good forest management in a time of rapidly changing climate differs little from good forest management under more static conditions, but there is increased emphasis on protecting climatic refugia and providing connectivity.","author":[{"dropping-particle":"","family":"Noss","given":"R. F.","non-dropping-particle":"","parse-names":false,"suffix":""}],"container-title":"Conservation Biology","id":"ITEM-1","issued":{"date-parts":[["2001"]]},"note":"Yes","title":"Beyond kyoto: Forest management in a time of rapid climate change","type":"article"},"uris":["http://www.mendeley.com/documents/?uuid=03dd97a3-a710-476d-b6f7-4bdc1329de96"]},{"id":"ITEM-2","itemData":{"DOI":"10.1007/s11027-008-9155-4","ISSN":"13812386","abstract":"Many studies have suggested various kinds of forest policies, management planning and practices to help forests adapt to climate change. These recommendations are often generic, based mostly on case studies from temperate countries and rarely from Africa. We argue that policy and management recommendations aimed at integrating adaptation into national forest policies and practices in Africa should start with an inventory and careful examination of existing policies and practices in order to understand the nature and extent of intervention required to influence the adaptation of forest ecosystems to climate change. This paper aims to contribute to closing this gap in knowledge detrimental to decision making through the review and analysis of current forest policies and practices in Burkina Faso and Ghana and highlighting elements that have the potential to influence the adaptation of forest ecosystems to climate change. The analysis revealed that adaptation (and mitigation) are not part of current forest policies in Burkina Faso and Ghana, but instead policies contain elements of risk management practices which are also relevant to the adaptation of forest ecosystems. Some of these elements are found in policies on the management of forest fires, forest genetic resources, non-timber resources, tree regeneration and silvicultural practices. To facilitate and enhance the management of these elements, a number of recommendations are suggested. Their implementation will require experienced and well-trained forestry personnel, financial resources, socio-cultural and political dimensions, and the political will of decision makers to act appropriately by formulating necessary policies and mainstreaming adaptation into forest policy and management planning. © 2008 The Author(s).","author":[{"dropping-particle":"","family":"Kalame","given":"Fobissie B.","non-dropping-particle":"","parse-names":false,"suffix":""},{"dropping-particle":"","family":"Nkem","given":"Johnson","non-dropping-particle":"","parse-names":false,"suffix":""},{"dropping-particle":"","family":"Idinoba","given":"Monica","non-dropping-particle":"","parse-names":false,"suffix":""},{"dropping-particle":"","family":"Kanninen","given":"Markku","non-dropping-particle":"","parse-names":false,"suffix":""}],"container-title":"Mitigation and Adaptation Strategies for Global Change","id":"ITEM-2","issued":{"date-parts":[["2009"]]},"title":"Matching national forest policies and management practices for climate change adaptation in Burkina Faso and Ghana","type":"article-journal"},"uris":["http://www.mendeley.com/documents/?uuid=75e2181d-5841-4273-b5b7-19bfe2c70b60"]},{"id":"ITEM-3","itemData":{"DOI":"10.1016/j.gloenvcha.2006.11.003","ISSN":"09593780","abstract":"One of the major current global environmental challenges is the conservation of forest biodiversity. Deforestation and forest degradation continue despite international governmental agreements on forest conservation. In recent years private regulation in the international forest governance system has increased. Numerous partnerships between governments, business and/or civil society have been developed. Most of them focus on a single threat to forest biodiversity. This private regulation has had a limited positive impact. The most valuable contribution has been filling the gap of lack of implementation by governments. The forest governance system can become more effective if metagovernance is strengthened. © 2006 Elsevier Ltd. All rights reserved.","author":[{"dropping-particle":"","family":"Visseren-Hamakers","given":"Ingrid J.","non-dropping-particle":"","parse-names":false,"suffix":""},{"dropping-particle":"","family":"Glasbergen","given":"Pieter","non-dropping-particle":"","parse-names":false,"suffix":""}],"container-title":"Global Environmental Change","id":"ITEM-3","issued":{"date-parts":[["2007"]]},"title":"Partnerships in forest governance","type":"article-journal"},"uris":["http://www.mendeley.com/documents/?uuid=56ab0ffd-56c6-4359-bfd0-23df80f657b1"]}],"mendeley":{"formattedCitation":"&lt;sup&gt;14–16&lt;/sup&gt;","plainTextFormattedCitation":"14–16","previouslyFormattedCitation":"&lt;sup&gt;14–16&lt;/sup&gt;"},"properties":{"noteIndex":0},"schema":"https://github.com/citation-style-language/schema/raw/master/csl-citation.json"}</w:instrText>
      </w:r>
      <w:r w:rsidRPr="007E6221">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14–16</w:t>
      </w:r>
      <w:r w:rsidRPr="007E6221">
        <w:rPr>
          <w:rFonts w:eastAsia="Times New Roman" w:cs="Arial"/>
          <w:color w:val="000000"/>
          <w:lang w:val="de-CH" w:eastAsia="de-CH"/>
        </w:rPr>
        <w:fldChar w:fldCharType="end"/>
      </w:r>
      <w:r w:rsidRPr="007E6221">
        <w:rPr>
          <w:rFonts w:eastAsia="Times New Roman" w:cs="Arial"/>
          <w:color w:val="000000"/>
          <w:lang w:val="de-CH" w:eastAsia="de-CH"/>
        </w:rPr>
        <w:t>. Es fehlt jedoch an genereller Durchsetzung und Implementierung dieser</w:t>
      </w:r>
      <w:r w:rsidRPr="007E6221">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{"citationItems":[{"id":"ITEM-1","itemData":{"DOI":"10.1016/j.gloenvcha.2006.11.003","ISSN":"09593780","abstract":"One of the major current global environmental challenges is the conservation of forest biodiversity. Deforestation and forest degradation continue despite international governmental agreements on forest conservation. In recent years private regulation in the international forest governance system has increased. Numerous partnerships between governments, business and/or civil society have been developed. Most of them focus on a single threat to forest biodiversity. This private regulation has had a limited positive impact. The most valuable contribution has been filling the gap of lack of implementation by governments. The forest governance system can become more effective if metagovernance is strengthened. © 2006 Elsevier Ltd. All rights reserved.","author":[{"dropping-particle":"","family":"Visseren-Hamakers","given":"Ingrid J.","non-dropping-particle":"","parse-names":false,"suffix":""},{"dropping-particle":"","family":"Glasbergen","given":"Pieter","non-dropping-particle":"","parse-names":false,"suffix":""}],"container-title":"Global Environmental Change","id":"ITEM-1","issued":{"date-parts":[["2007"]]},"title":"Partnerships in forest governance","type":"article-journal"},"uris":["http://www.mendeley.com/documents/?uuid=56ab0ffd-56c6-4359-bfd0-23df80f657b1"]}],"mendeley":{"formattedCitation":"&lt;sup&gt;16&lt;/sup&gt;","plainTextFormattedCitation":"16","previouslyFormattedCitation":"&lt;sup&gt;16&lt;/sup&gt;"},"properties":{"noteIndex":0},"schema":"https://github.com/citation-style-language/schema/raw/master/csl-citation.json"}</w:instrText>
      </w:r>
      <w:r w:rsidRPr="007E6221">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16</w:t>
      </w:r>
      <w:r w:rsidRPr="007E6221">
        <w:rPr>
          <w:rFonts w:eastAsia="Times New Roman" w:cs="Arial"/>
          <w:color w:val="000000"/>
          <w:lang w:val="de-CH" w:eastAsia="de-CH"/>
        </w:rPr>
        <w:fldChar w:fldCharType="end"/>
      </w:r>
      <w:r w:rsidRPr="007E6221">
        <w:rPr>
          <w:rFonts w:eastAsia="Times New Roman" w:cs="Arial"/>
          <w:color w:val="000000"/>
          <w:lang w:val="de-CH" w:eastAsia="de-CH"/>
        </w:rPr>
        <w:t xml:space="preserve">. Da der von Menschen verursachte Klimawandel diese intensiver werdenden und häufiger auftretenden Störungen vorantreibt, muss diese Problematik in die bestehenden </w:t>
      </w:r>
      <w:r w:rsidRPr="006C47A3">
        <w:rPr>
          <w:rFonts w:eastAsia="Times New Roman" w:cs="Arial"/>
          <w:color w:val="000000"/>
          <w:lang w:val="en-US" w:eastAsia="de-CH"/>
        </w:rPr>
        <w:t>Policies</w:t>
      </w:r>
      <w:r w:rsidRPr="007E6221">
        <w:rPr>
          <w:rFonts w:eastAsia="Times New Roman" w:cs="Arial"/>
          <w:color w:val="000000"/>
          <w:lang w:val="de-CH" w:eastAsia="de-CH"/>
        </w:rPr>
        <w:t xml:space="preserve"> integriert werden</w:t>
      </w:r>
      <w:r w:rsidRPr="007E6221">
        <w:rPr>
          <w:rFonts w:eastAsia="Times New Roman" w:cs="Arial"/>
          <w:color w:val="000000"/>
          <w:lang w:val="de-CH" w:eastAsia="de-CH"/>
        </w:rPr>
        <w:fldChar w:fldCharType="begin" w:fldLock="1"/>
      </w:r>
      <w:r w:rsidR="00EB3E0D">
        <w:rPr>
          <w:rFonts w:eastAsia="Times New Roman" w:cs="Arial"/>
          <w:color w:val="000000"/>
          <w:lang w:val="de-CH" w:eastAsia="de-CH"/>
        </w:rPr>
        <w:instrText>ADDIN CSL_CITATION {"citationItems":[{"id":"ITEM-1","itemData":{"DOI":"10.1007/s11027-008-9155-4","ISSN":"13812386","abstract":"Many studies have suggested various kinds of forest policies, management planning and practices to help forests adapt to climate change. These recommendations are often generic, based mostly on case studies from temperate countries and rarely from Africa. We argue that policy and management recommendations aimed at integrating adaptation into national forest policies and practices in Africa should start with an inventory and careful examination of existing policies and practices in order to understand the nature and extent of intervention required to influence the adaptation of forest ecosystems to climate change. This paper aims to contribute to closing this gap in knowledge detrimental to decision making through the review and analysis of current forest policies and practices in Burkina Faso and Ghana and highlighting elements that have the potential to influence the adaptation of forest ecosystems to climate change. The analysis revealed that adaptation (and mitigation) are not part of current forest policies in Burkina Faso and Ghana, but instead policies contain elements of risk management practices which are also relevant to the adaptation of forest ecosystems. Some of these elements are found in policies on the management of forest fires, forest genetic resources, non-timber resources, tree regeneration and silvicultural practices. To facilitate and enhance the management of these elements, a number of recommendations are suggested. Their implementation will require experienced and well-trained forestry personnel, financial resources, socio-cultural and political dimensions, and the political will of decision makers to act appropriately by formulating necessary policies and mainstreaming adaptation into forest policy and management planning. © 2008 The Author(s).","author":[{"dropping-particle":"","family":"Kalame","given":"Fobissie B.","non-dropping-particle":"","parse-names":false,"suffix":""},{"dropping-particle":"","family":"Nkem","given":"Johnson","non-dropping-particle":"","parse-names":false,"suffix":""},{"dropping-particle":"","family":"Idinoba","given":"Monica","non-dropping-particle":"","parse-names":false,"suffix":""},{"dropping-particle":"","family":"Kanninen","given":"Markku","non-dropping-particle":"","parse-names":false,"suffix":""}],"container-title":"Mitigation and Adaptation Strategies for Global Change","id":"ITEM-1","issued":{"date-parts":[["2009"]]},"title":"Matching national forest policies and management practices for climate change adaptation in Burkina Faso and Ghana","type":"article-journal"},"uris":["http://www.mendeley.com/documents/?uuid=75e2181d-5841-4273-b5b7-19bfe2c70b60"]}],"mendeley":{"formattedCitation":"&lt;sup&gt;15&lt;/sup&gt;","plainTextFormattedCitation":"15","previouslyFormattedCitation":"&lt;sup&gt;15&lt;/sup&gt;"},"properties":{"noteIndex":0},"schema":"https://github.com/citation-style-language/schema/raw/master/csl-citation.json"}</w:instrText>
      </w:r>
      <w:r w:rsidRPr="007E6221">
        <w:rPr>
          <w:rFonts w:eastAsia="Times New Roman" w:cs="Arial"/>
          <w:color w:val="000000"/>
          <w:lang w:val="de-CH" w:eastAsia="de-CH"/>
        </w:rPr>
        <w:fldChar w:fldCharType="separate"/>
      </w:r>
      <w:r w:rsidR="00EB3E0D" w:rsidRPr="00EB3E0D">
        <w:rPr>
          <w:rFonts w:eastAsia="Times New Roman" w:cs="Arial"/>
          <w:noProof/>
          <w:color w:val="000000"/>
          <w:vertAlign w:val="superscript"/>
          <w:lang w:val="de-CH" w:eastAsia="de-CH"/>
        </w:rPr>
        <w:t>15</w:t>
      </w:r>
      <w:r w:rsidRPr="007E6221">
        <w:rPr>
          <w:rFonts w:eastAsia="Times New Roman" w:cs="Arial"/>
          <w:color w:val="000000"/>
          <w:lang w:val="de-CH" w:eastAsia="de-CH"/>
        </w:rPr>
        <w:fldChar w:fldCharType="end"/>
      </w:r>
      <w:r w:rsidRPr="007E6221">
        <w:rPr>
          <w:rFonts w:eastAsia="Times New Roman" w:cs="Arial"/>
          <w:color w:val="000000"/>
          <w:lang w:val="de-CH" w:eastAsia="de-CH"/>
        </w:rPr>
        <w:t>.</w:t>
      </w:r>
    </w:p>
    <w:p w14:paraId="11E64BA0" w14:textId="77777777" w:rsidR="00AD5C0D" w:rsidRPr="00AD5C0D" w:rsidRDefault="00AD5C0D" w:rsidP="00AD5C0D"/>
    <w:p w14:paraId="543BF337" w14:textId="77777777" w:rsidR="0034696F" w:rsidRDefault="0034696F">
      <w:pPr>
        <w:rPr>
          <w:rStyle w:val="berschrift1Zchn"/>
          <w:lang w:val="de-CH"/>
        </w:rPr>
      </w:pPr>
      <w:r>
        <w:rPr>
          <w:rStyle w:val="berschrift1Zchn"/>
          <w:lang w:val="de-CH"/>
        </w:rPr>
        <w:br w:type="page"/>
      </w:r>
    </w:p>
    <w:p w14:paraId="4AEFED0D" w14:textId="06DC808A" w:rsidR="00AD5C0D" w:rsidRDefault="00D46D76" w:rsidP="00AD5C0D">
      <w:pPr>
        <w:pStyle w:val="StandardWeb"/>
        <w:spacing w:before="0" w:beforeAutospacing="0" w:after="160" w:afterAutospacing="0"/>
        <w:rPr>
          <w:rFonts w:asciiTheme="majorHAnsi" w:hAnsiTheme="majorHAnsi" w:cs="Arial"/>
          <w:color w:val="2E74B5"/>
          <w:sz w:val="32"/>
          <w:szCs w:val="32"/>
          <w:lang w:val="de-CH"/>
        </w:rPr>
      </w:pPr>
      <w:r w:rsidRPr="00B34357">
        <w:rPr>
          <w:rStyle w:val="berschrift1Zchn"/>
          <w:lang w:val="de-CH"/>
        </w:rPr>
        <w:lastRenderedPageBreak/>
        <w:t>Rechercheaspekt A:</w:t>
      </w:r>
      <w:r w:rsidR="00B32B06" w:rsidRPr="00B34357">
        <w:rPr>
          <w:rStyle w:val="berschrift1Zchn"/>
          <w:lang w:val="de-CH"/>
        </w:rPr>
        <w:t xml:space="preserve"> Fakten, die </w:t>
      </w:r>
      <w:r w:rsidR="00B34357" w:rsidRPr="00B34357">
        <w:rPr>
          <w:rFonts w:asciiTheme="majorHAnsi" w:hAnsiTheme="majorHAnsi" w:cs="Arial"/>
          <w:color w:val="2E74B5"/>
          <w:sz w:val="32"/>
          <w:szCs w:val="32"/>
          <w:lang w:val="de-CH"/>
        </w:rPr>
        <w:t>die Resilienz von Wäldern beeinflussen</w:t>
      </w:r>
    </w:p>
    <w:p w14:paraId="7165E0D7" w14:textId="77777777" w:rsidR="00D46D76" w:rsidRPr="00AD5C0D" w:rsidRDefault="00B34357" w:rsidP="00AD5C0D">
      <w:pPr>
        <w:pStyle w:val="StandardWeb"/>
        <w:spacing w:before="0" w:beforeAutospacing="0" w:after="160" w:afterAutospacing="0"/>
        <w:rPr>
          <w:rStyle w:val="Hervorhebung"/>
          <w:rFonts w:asciiTheme="majorHAnsi" w:hAnsiTheme="majorHAnsi"/>
          <w:i w:val="0"/>
          <w:iCs w:val="0"/>
          <w:color w:val="000000"/>
          <w:lang w:val="de-CH"/>
        </w:rPr>
      </w:pPr>
      <w:r w:rsidRPr="00B34357">
        <w:rPr>
          <w:rStyle w:val="Hervorhebung"/>
          <w:lang w:val="de-CH"/>
        </w:rPr>
        <w:t>Paulina Körner</w:t>
      </w:r>
    </w:p>
    <w:p w14:paraId="6C6F7F21" w14:textId="65B53B67" w:rsidR="00D46D76" w:rsidRPr="00B34357" w:rsidRDefault="00D46D76" w:rsidP="00D46D76">
      <w:pPr>
        <w:pStyle w:val="berschrift2"/>
        <w:rPr>
          <w:sz w:val="22"/>
          <w:szCs w:val="22"/>
          <w:lang w:val="de-CH"/>
        </w:rPr>
      </w:pPr>
      <w:r w:rsidRPr="00B34357">
        <w:rPr>
          <w:lang w:val="de-CH"/>
        </w:rPr>
        <w:t xml:space="preserve">Kurzzusammenfassung </w:t>
      </w:r>
    </w:p>
    <w:p w14:paraId="4E6E5A95" w14:textId="284E7497" w:rsidR="00B34357" w:rsidRPr="005B7379" w:rsidRDefault="005B7379" w:rsidP="005B7379">
      <w:pPr>
        <w:jc w:val="both"/>
        <w:rPr>
          <w:rFonts w:eastAsia="Times New Roman" w:cs="Times New Roman"/>
          <w:color w:val="000000"/>
          <w:lang w:val="de-DE"/>
        </w:rPr>
      </w:pPr>
      <w:r w:rsidRPr="005B7379">
        <w:rPr>
          <w:rFonts w:eastAsia="Times New Roman" w:cs="Arial"/>
          <w:color w:val="000000"/>
          <w:lang w:val="de-DE"/>
        </w:rPr>
        <w:t>Angesichts des zunehmenden Drucks auf Wälder wird die Resilienz und Anpassungsfähigkeit von Wäldern immer wichtiger</w:t>
      </w:r>
      <w:r>
        <w:rPr>
          <w:rFonts w:eastAsia="Times New Roman" w:cs="Arial"/>
          <w:color w:val="000000"/>
          <w:lang w:val="de-DE"/>
        </w:rPr>
        <w:fldChar w:fldCharType="begin" w:fldLock="1"/>
      </w:r>
      <w:r w:rsidR="00EB3E0D">
        <w:rPr>
          <w:rFonts w:eastAsia="Times New Roman" w:cs="Arial"/>
          <w:color w:val="000000"/>
          <w:lang w:val="de-DE"/>
        </w:rPr>
        <w:instrText>ADDIN CSL_CITATION {"citationItems":[{"id":"ITEM-1","itemData":{"DOI":"10.1890/14-0255.1","ISSN":"19395582","abstract":"Disturbances are key drivers of forest ecosystem dynamics, and forests are well adapted to their natural disturbance regimes. However, as a result of climate change, disturbance frequency is expected to increase in the future in many regions. It is not yet clear how such changes might affect forest ecosystems, and which mechanisms contribute to (current and future) disturbance resilience. We studied a 6364-ha landscape in the western Cascades of Oregon, USA, to investigate how patches of remnant old-growth trees (as one important class of biological legacies) affect the resilience of forest ecosystems to disturbance. Using the spatially explicit, individual-based, forest landscape model iLand, we analyzed the effect of three different levels of remnant patches (0%, 12%, and 24% of the landscape) on 500-year recovery trajectories after a large, high-severity wildfire. In addition, we evaluated how three different levels of fire frequency modulate the effects of initial legacies. We found that remnant live trees enhanced the recovery of total ecosystem carbon (TEC) stocks after disturbance, increased structural complexity of forest canopies, and facilitated the recolonization of late-seral species (LSS). Legacy effects were most persistent for indicators of species composition (still significant 500 years after disturbance), while TEC (i.e., a measure of ecosystem functioning) was least affected, with no significant differences among legacy scenarios after 236 years. Compounding disturbances were found to dampen legacy effects on all indicators, and higher initial legacy levels resulted in elevated fire severity in the second half of the study period. Overall, disturbance frequency had a stronger effect on ecosystem properties than the initial level of remnant old-growth trees. A doubling of the historically observed fire frequency to a mean fire return interval of 131 years reduced TEC by 10.5% and lowered the presence of LSS on the landscape by 18.1% on average, demonstrating that an increase in disturbance frequency (a potential climate change effect) may considerably alter the structure, composition, and functioning of forest landscapes. Our results indicate that live tree legacies are an important component of disturbance resilience, underlining the potential of retention forestry to address challenges in ecosystem management.","author":[{"dropping-particle":"","family":"Seidl","given":"Rupert","non-dropping-particle":"","parse-names":false,"suffix":""},{"dropping-particle":"","family":"Rammer","given":"Werner","non-dropping-particle":"","parse-names":false,"suffix":""},{"dropping-particle":"","family":"Spies","given":"Thomas A.","non-dropping-particle":"","parse-names":false,"suffix":""}],"container-title":"Ecological Applications","id":"ITEM-1","issue":"8","issued":{"date-parts":[["2014","12","1"]]},"page":"2063-2077","publisher":"Ecological Society of America","title":"Disturbance legacies increase the resilience of forest ecosystem structure, composition, and functioning","type":"article-journal","volume":"24"},"uris":["http://www.mendeley.com/documents/?uuid=00283bea-9821-3a82-8715-4ab5b13b5e65"]}],"mendeley":{"formattedCitation":"&lt;sup&gt;17&lt;/sup&gt;","plainTextFormattedCitation":"17","previouslyFormattedCitation":"&lt;sup&gt;17&lt;/sup&gt;"},"properties":{"noteIndex":0},"schema":"https://github.com/citation-style-language/schema/raw/master/csl-citation.json"}</w:instrText>
      </w:r>
      <w:r>
        <w:rPr>
          <w:rFonts w:eastAsia="Times New Roman" w:cs="Arial"/>
          <w:color w:val="000000"/>
          <w:lang w:val="de-DE"/>
        </w:rPr>
        <w:fldChar w:fldCharType="separate"/>
      </w:r>
      <w:r w:rsidR="00EB3E0D" w:rsidRPr="00EB3E0D">
        <w:rPr>
          <w:rFonts w:eastAsia="Times New Roman" w:cs="Arial"/>
          <w:noProof/>
          <w:color w:val="000000"/>
          <w:vertAlign w:val="superscript"/>
          <w:lang w:val="de-DE"/>
        </w:rPr>
        <w:t>17</w:t>
      </w:r>
      <w:r>
        <w:rPr>
          <w:rFonts w:eastAsia="Times New Roman" w:cs="Arial"/>
          <w:color w:val="000000"/>
          <w:lang w:val="de-DE"/>
        </w:rPr>
        <w:fldChar w:fldCharType="end"/>
      </w:r>
      <w:r w:rsidRPr="005B7379">
        <w:rPr>
          <w:rFonts w:eastAsia="Times New Roman" w:cs="Arial"/>
          <w:color w:val="000000"/>
          <w:lang w:val="de-DE"/>
        </w:rPr>
        <w:t>. Unter Resilienz eines Waldes versteht man die Fähigkeit, nach einer Störung die vorherige taxonomische Zusammensetzung, Struktur sowie die vorherigen ökologische Funktionen und Prozesse wiederherzustellen</w:t>
      </w:r>
      <w:r>
        <w:rPr>
          <w:rFonts w:eastAsia="Times New Roman" w:cs="Arial"/>
          <w:color w:val="000000"/>
          <w:lang w:val="de-DE"/>
        </w:rPr>
        <w:fldChar w:fldCharType="begin" w:fldLock="1"/>
      </w:r>
      <w:r w:rsidR="00D337D8">
        <w:rPr>
          <w:rFonts w:eastAsia="Times New Roman" w:cs="Arial"/>
          <w:color w:val="000000"/>
          <w:lang w:val="de-DE"/>
        </w:rPr>
        <w:instrText>ADDIN CSL_CITATION {"citationItems":[{"id":"ITEM-1","itemData":{"ISBN":"9292251376","abstract":"Glossary -- Foreword -- Summary for policy-makers -- Introduction -- Genetic diversity and resilience to change -- The relationships among biodiversity, productivity and function, and resilience and stability -- Resilience, biodiversity, and forest carbon dynamics -- Case studies of forest resilience and comparisons under climate change by forest biome -- Conclusions and ecological principles -- Literature cited.","author":[{"dropping-particle":"","family":"Thompson","given":"Ian","non-dropping-particle":"","parse-names":false,"suffix":""},{"dropping-particle":"","family":"Mackey","given":"Brendan","non-dropping-particle":"","parse-names":false,"suffix":""},{"dropping-particle":"","family":"McNulty","given":"Steven","non-dropping-particle":"","parse-names":false,"suffix":""},{"dropping-particle":"","family":"Mosseler","given":"Alex","non-dropping-particle":"","parse-names":false,"suffix":""},{"dropping-particle":"","family":"Secretariat of the convention on the biological diversity","given":"","non-dropping-particle":"","parse-names":false,"suffix":""}],"id":"ITEM-1","issued":{"date-parts":[["0"]]},"number-of-pages":"67","title":"Forest resilience, biodiversity, and climate change : a synthesis of the biodiversity, resilience, stabiblity relationship in forest ecosystems","type":"book"},"uris":["http://www.mendeley.com/documents/?uuid=7e0fcd81-d2f3-376d-a090-8088fa9829e3"]}],"mendeley":{"formattedCitation":"&lt;sup&gt;8&lt;/sup&gt;","plainTextFormattedCitation":"8","previouslyFormattedCitation":"&lt;sup&gt;8&lt;/sup&gt;"},"properties":{"noteIndex":0},"schema":"https://github.com/citation-style-language/schema/raw/master/csl-citation.json"}</w:instrText>
      </w:r>
      <w:r>
        <w:rPr>
          <w:rFonts w:eastAsia="Times New Roman" w:cs="Arial"/>
          <w:color w:val="000000"/>
          <w:lang w:val="de-DE"/>
        </w:rPr>
        <w:fldChar w:fldCharType="separate"/>
      </w:r>
      <w:r w:rsidR="007E6221" w:rsidRPr="007E6221">
        <w:rPr>
          <w:rFonts w:eastAsia="Times New Roman" w:cs="Arial"/>
          <w:noProof/>
          <w:color w:val="000000"/>
          <w:vertAlign w:val="superscript"/>
          <w:lang w:val="de-DE"/>
        </w:rPr>
        <w:t>8</w:t>
      </w:r>
      <w:r>
        <w:rPr>
          <w:rFonts w:eastAsia="Times New Roman" w:cs="Arial"/>
          <w:color w:val="000000"/>
          <w:lang w:val="de-DE"/>
        </w:rPr>
        <w:fldChar w:fldCharType="end"/>
      </w:r>
      <w:r w:rsidRPr="005B7379">
        <w:rPr>
          <w:rFonts w:eastAsia="Times New Roman" w:cs="Arial"/>
          <w:color w:val="000000"/>
          <w:lang w:val="de-DE"/>
        </w:rPr>
        <w:t>. Die Resilienz eines Waldes wird durch die zu Verfügung stehenden Ressourcen, Artenvielfalt, Größe des Waldökosystems, umgebenden Landschaften, vorherige Waldnutzung und die genetische Vielfalt innerhalb einer Art bestimmt</w:t>
      </w:r>
      <w:r>
        <w:rPr>
          <w:rFonts w:eastAsia="Times New Roman" w:cs="Arial"/>
          <w:color w:val="000000"/>
          <w:lang w:val="de-DE"/>
        </w:rPr>
        <w:fldChar w:fldCharType="begin" w:fldLock="1"/>
      </w:r>
      <w:r w:rsidR="00D337D8">
        <w:rPr>
          <w:rFonts w:eastAsia="Times New Roman" w:cs="Arial"/>
          <w:color w:val="000000"/>
          <w:lang w:val="de-DE"/>
        </w:rPr>
        <w:instrText>ADDIN CSL_CITATION {"citationItems":[{"id":"ITEM-1","itemData":{"ISBN":"9292251376","abstract":"Glossary -- Foreword -- Summary for policy-makers -- Introduction -- Genetic diversity and resilience to change -- The relationships among biodiversity, productivity and function, and resilience and stability -- Resilience, biodiversity, and forest carbon dynamics -- Case studies of forest resilience and comparisons under climate change by forest biome -- Conclusions and ecological principles -- Literature cited.","author":[{"dropping-particle":"","family":"Thompson","given":"Ian","non-dropping-particle":"","parse-names":false,"suffix":""},{"dropping-particle":"","family":"Mackey","given":"Brendan","non-dropping-particle":"","parse-names":false,"suffix":""},{"dropping-particle":"","family":"McNulty","given":"Steven","non-dropping-particle":"","parse-names":false,"suffix":""},{"dropping-particle":"","family":"Mosseler","given":"Alex","non-dropping-particle":"","parse-names":false,"suffix":""},{"dropping-particle":"","family":"Secretariat of the convention on the biological diversity","given":"","non-dropping-particle":"","parse-names":false,"suffix":""}],"id":"ITEM-1","issued":{"date-parts":[["0"]]},"number-of-pages":"67","title":"Forest resilience, biodiversity, and climate change : a synthesis of the biodiversity, resilience, stabiblity relationship in forest ecosystems","type":"book"},"uris":["http://www.mendeley.com/documents/?uuid=7e0fcd81-d2f3-376d-a090-8088fa9829e3"]}],"mendeley":{"formattedCitation":"&lt;sup&gt;8&lt;/sup&gt;","plainTextFormattedCitation":"8","previouslyFormattedCitation":"&lt;sup&gt;8&lt;/sup&gt;"},"properties":{"noteIndex":0},"schema":"https://github.com/citation-style-language/schema/raw/master/csl-citation.json"}</w:instrText>
      </w:r>
      <w:r>
        <w:rPr>
          <w:rFonts w:eastAsia="Times New Roman" w:cs="Arial"/>
          <w:color w:val="000000"/>
          <w:lang w:val="de-DE"/>
        </w:rPr>
        <w:fldChar w:fldCharType="separate"/>
      </w:r>
      <w:r w:rsidR="007E6221" w:rsidRPr="007E6221">
        <w:rPr>
          <w:rFonts w:eastAsia="Times New Roman" w:cs="Arial"/>
          <w:noProof/>
          <w:color w:val="000000"/>
          <w:vertAlign w:val="superscript"/>
          <w:lang w:val="de-DE"/>
        </w:rPr>
        <w:t>8</w:t>
      </w:r>
      <w:r>
        <w:rPr>
          <w:rFonts w:eastAsia="Times New Roman" w:cs="Arial"/>
          <w:color w:val="000000"/>
          <w:lang w:val="de-DE"/>
        </w:rPr>
        <w:fldChar w:fldCharType="end"/>
      </w:r>
      <w:r>
        <w:rPr>
          <w:rFonts w:eastAsia="Times New Roman" w:cs="Arial"/>
          <w:color w:val="000000"/>
          <w:vertAlign w:val="superscript"/>
          <w:lang w:val="de-DE"/>
        </w:rPr>
        <w:t>,</w:t>
      </w:r>
      <w:r>
        <w:rPr>
          <w:rFonts w:eastAsia="Times New Roman" w:cs="Arial"/>
          <w:color w:val="000000"/>
          <w:vertAlign w:val="superscript"/>
          <w:lang w:val="de-DE"/>
        </w:rPr>
        <w:fldChar w:fldCharType="begin" w:fldLock="1"/>
      </w:r>
      <w:r w:rsidR="00EB3E0D">
        <w:rPr>
          <w:rFonts w:eastAsia="Times New Roman" w:cs="Arial"/>
          <w:color w:val="000000"/>
          <w:vertAlign w:val="superscript"/>
          <w:lang w:val="de-DE"/>
        </w:rPr>
        <w:instrText>ADDIN CSL_CITATION {"citationItems":[{"id":"ITEM-1","itemData":{"DOI":"10.1016/j.foreco.2008.06.038","ISSN":"03781127","abstract":"Healthy forests provide many of the essential ecosystem services upon which all life depends. Genetic diversity is an essential component of long-term forest health because it provides a basis for adaptation and resilience to environmental stress and change. In addition to natural processes, numerous anthropogenic factors deplete forest genetic resources. Genetic losses could be particularly consequential now because robust resilience is needed to respond to a growing number, variety, and frequency of stress exposures. Silvicultural management that selectively removes trees (and their genes) from forests may be another force reshaping forest gene pools. Although data concerning the influence of silvicultural management on genetic resources in temperate forests is somewhat mixed, through the genetic assessment of long-term silvicultural treatments within an eastern hemlock (Tsuga canadensis) forest, and computer-based simulated harvests of a genetically mapped eastern white pine (Pinus strobus) stand, we found that the selective removal of trees can alter gene frequencies. Due to an association with phenotypic characteristics used to guide harvests, the frequencies of rare alleles appeared particularly vulnerable to manipulation. Depending on the selection criteria used, rare allele frequencies either remained steady, decreased, or increased relative to study controls. Although harvest-associated genetic losses are possible, our data suggests that management can also sustain or enhance genetic richness. Similar to studies within temperate ecosystems, recent research in tropical forests underscores the potential influence of harvesting on the genetics of tree populations. In addition to efforts to reduce controllable sources of ecosystem stress (e.g., high pollutant exposures), management options should be evaluated that may bolster forest ecosystem resilience by preserving levels of genetic diversity within forests.","author":[{"dropping-particle":"","family":"Schaberg","given":"Paul G.","non-dropping-particle":"","parse-names":false,"suffix":""},{"dropping-particle":"","family":"DeHayes","given":"Donald H.","non-dropping-particle":"","parse-names":false,"suffix":""},{"dropping-particle":"","family":"Hawley","given":"Gary J.","non-dropping-particle":"","parse-names":false,"suffix":""},{"dropping-particle":"","family":"Nijensohn","given":"Samuel E.","non-dropping-particle":"","parse-names":false,"suffix":""}],"container-title":"Forest Ecology and Management","id":"ITEM-1","issued":{"date-parts":[["2008"]]},"title":"Anthropogenic alterations of genetic diversity within tree populations: Implications for forest ecosystem resilience","type":"article"},"uris":["http://www.mendeley.com/documents/?uuid=ac18036c-c8b4-39d7-80fc-2dd2e438e95c"]}],"mendeley":{"formattedCitation":"&lt;sup&gt;18&lt;/sup&gt;","plainTextFormattedCitation":"18","previouslyFormattedCitation":"&lt;sup&gt;18&lt;/sup&gt;"},"properties":{"noteIndex":0},"schema":"https://github.com/citation-style-language/schema/raw/master/csl-citation.json"}</w:instrText>
      </w:r>
      <w:r>
        <w:rPr>
          <w:rFonts w:eastAsia="Times New Roman" w:cs="Arial"/>
          <w:color w:val="000000"/>
          <w:vertAlign w:val="superscript"/>
          <w:lang w:val="de-DE"/>
        </w:rPr>
        <w:fldChar w:fldCharType="separate"/>
      </w:r>
      <w:r w:rsidR="00EB3E0D" w:rsidRPr="00EB3E0D">
        <w:rPr>
          <w:rFonts w:eastAsia="Times New Roman" w:cs="Arial"/>
          <w:noProof/>
          <w:color w:val="000000"/>
          <w:vertAlign w:val="superscript"/>
          <w:lang w:val="de-DE"/>
        </w:rPr>
        <w:t>18</w:t>
      </w:r>
      <w:r>
        <w:rPr>
          <w:rFonts w:eastAsia="Times New Roman" w:cs="Arial"/>
          <w:color w:val="000000"/>
          <w:vertAlign w:val="superscript"/>
          <w:lang w:val="de-DE"/>
        </w:rPr>
        <w:fldChar w:fldCharType="end"/>
      </w:r>
      <w:r>
        <w:rPr>
          <w:rFonts w:eastAsia="Times New Roman" w:cs="Arial"/>
          <w:color w:val="000000"/>
          <w:vertAlign w:val="superscript"/>
          <w:lang w:val="de-DE"/>
        </w:rPr>
        <w:t>,</w:t>
      </w:r>
      <w:r w:rsidR="00241583">
        <w:rPr>
          <w:rFonts w:eastAsia="Times New Roman" w:cs="Arial"/>
          <w:color w:val="000000"/>
          <w:vertAlign w:val="superscript"/>
          <w:lang w:val="de-DE"/>
        </w:rPr>
        <w:fldChar w:fldCharType="begin" w:fldLock="1"/>
      </w:r>
      <w:r w:rsidR="00EB3E0D">
        <w:rPr>
          <w:rFonts w:eastAsia="Times New Roman" w:cs="Arial"/>
          <w:color w:val="000000"/>
          <w:vertAlign w:val="superscript"/>
          <w:lang w:val="de-DE"/>
        </w:rPr>
        <w:instrText>ADDIN CSL_CITATION {"citationItems":[{"id":"ITEM-1","itemData":{"DOI":"10.1007/s11056-015-9489-1","ISSN":"15735095","abstract":"Although the concept of resilience is increasingly being incorporated into environmental policy and linked to ecological restoration goals, there is considerable uncertainty regarding how resilience should be defined and measured in practice. Here we briefly review some of the definitions of resilience that have been proposed, including those referred to as “ecological” and “engineering” resilience. We also examine evidence for the existence of multiple stable states in forest ecosystems, on which concepts of ecological resilience are based. As evidence for multiple stable states is limited, we suggest that ecological resilience may often have limited value as a goal for forest restoration. We illustrate how engineering resilience can potentially be measured by estimating the rate of forest recovery following disturbance, through analysis of recovery trajectories using meta-analysis and ecological modelling approaches. We also highlight the potential value of resistance as a restoration goal, which can similarly be estimated using such approaches. Based on application of these concepts, we suggest how guidance for restoration practitioners could potentially be developed, to support the practical achievement of both resilience and resistance during forest restoration.","author":[{"dropping-particle":"","family":"Newton","given":"Adrian C.","non-dropping-particle":"","parse-names":false,"suffix":""},{"dropping-particle":"","family":"Cantarello","given":"Elena","non-dropping-particle":"","parse-names":false,"suffix":""}],"container-title":"New Forests","id":"ITEM-1","issue":"5-6","issued":{"date-parts":[["2015","11","1"]]},"page":"645-668","publisher":"Kluwer Academic Publishers","title":"Restoration of forest resilience: An achievable goal?","type":"article-journal","volume":"46"},"uris":["http://www.mendeley.com/documents/?uuid=30a36e50-d591-389b-968d-c0447ef3a8be"]}],"mendeley":{"formattedCitation":"&lt;sup&gt;19&lt;/sup&gt;","plainTextFormattedCitation":"19","previouslyFormattedCitation":"&lt;sup&gt;19&lt;/sup&gt;"},"properties":{"noteIndex":0},"schema":"https://github.com/citation-style-language/schema/raw/master/csl-citation.json"}</w:instrText>
      </w:r>
      <w:r w:rsidR="00241583">
        <w:rPr>
          <w:rFonts w:eastAsia="Times New Roman" w:cs="Arial"/>
          <w:color w:val="000000"/>
          <w:vertAlign w:val="superscript"/>
          <w:lang w:val="de-DE"/>
        </w:rPr>
        <w:fldChar w:fldCharType="separate"/>
      </w:r>
      <w:r w:rsidR="00EB3E0D" w:rsidRPr="00EB3E0D">
        <w:rPr>
          <w:rFonts w:eastAsia="Times New Roman" w:cs="Arial"/>
          <w:noProof/>
          <w:color w:val="000000"/>
          <w:vertAlign w:val="superscript"/>
          <w:lang w:val="de-DE"/>
        </w:rPr>
        <w:t>19</w:t>
      </w:r>
      <w:r w:rsidR="00241583">
        <w:rPr>
          <w:rFonts w:eastAsia="Times New Roman" w:cs="Arial"/>
          <w:color w:val="000000"/>
          <w:vertAlign w:val="superscript"/>
          <w:lang w:val="de-DE"/>
        </w:rPr>
        <w:fldChar w:fldCharType="end"/>
      </w:r>
      <w:r w:rsidR="00241583">
        <w:rPr>
          <w:rFonts w:eastAsia="Times New Roman" w:cs="Arial"/>
          <w:color w:val="000000"/>
          <w:lang w:val="de-DE"/>
        </w:rPr>
        <w:t>.</w:t>
      </w:r>
      <w:r w:rsidRPr="005B7379">
        <w:rPr>
          <w:rFonts w:eastAsia="Times New Roman" w:cs="Arial"/>
          <w:color w:val="000000"/>
          <w:lang w:val="de-DE"/>
        </w:rPr>
        <w:t xml:space="preserve"> Wälder werden hingegen anfälliger für Störungen durch den Klimawandel, Landnutzungsänderungen, invasive Arten oder Entwaldung</w:t>
      </w:r>
      <w:r w:rsidR="00241583">
        <w:rPr>
          <w:rFonts w:eastAsia="Times New Roman" w:cs="Arial"/>
          <w:color w:val="000000"/>
          <w:lang w:val="de-DE"/>
        </w:rPr>
        <w:fldChar w:fldCharType="begin" w:fldLock="1"/>
      </w:r>
      <w:r w:rsidR="007E6221">
        <w:rPr>
          <w:rFonts w:eastAsia="Times New Roman" w:cs="Arial"/>
          <w:color w:val="000000"/>
          <w:lang w:val="de-DE"/>
        </w:rPr>
        <w:instrText>ADDIN CSL_CITATION {"citationItems":[{"id":"ITEM-1","itemData":{"DOI":"10.1111/1365-2745.12337","ISSN":"13652745","abstract":"Summary: Anthropogenic global change compromises forest resilience, with profound impacts to ecosystem functions and services. This synthesis paper reflects on the current understanding of forest resilience and potential tipping points under environmental change and explores challenges to assessing responses using experiments, observations and models. Forests are changing over a wide range of spatio-temporal scales, but it is often unclear whether these changes reduce resilience or represent a tipping point. Tipping points may arise from interactions across scales, as processes such as climate change, land-use change, invasive species or deforestation gradually erode resilience and increase vulnerability to extreme events. Studies covering interactions across different spatio-temporal scales are needed to further our understanding. Combinations of experiments, observations and process-based models could improve our ability to project forest resilience and tipping points under global change. We discuss uncertainties in changing CO2 concentration and quantifying tree mortality as examples. Synthesis.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management.","author":[{"dropping-particle":"","family":"Reyer","given":"Christopher P.O.","non-dropping-particle":"","parse-names":false,"suffix":""},{"dropping-particle":"","family":"Brouwers","given":"Niels","non-dropping-particle":"","parse-names":false,"suffix":""},{"dropping-particle":"","family":"Rammig","given":"Anja","non-dropping-particle":"","parse-names":false,"suffix":""},{"dropping-particle":"","family":"Brook","given":"Barry W.","non-dropping-particle":"","parse-names":false,"suffix":""},{"dropping-particle":"","family":"Epila","given":"Jackie","non-dropping-particle":"","parse-names":false,"suffix":""},{"dropping-particle":"","family":"Grant","given":"Robert F.","non-dropping-particle":"","parse-names":false,"suffix":""},{"dropping-particle":"","family":"Holmgren","given":"Milena","non-dropping-particle":"","parse-names":false,"suffix":""},{"dropping-particle":"","family":"Langerwisch","given":"Fanny","non-dropping-particle":"","parse-names":false,"suffix":""},{"dropping-particle":"","family":"Leuzinger","given":"Sebastian","non-dropping-particle":"","parse-names":false,"suffix":""},{"dropping-particle":"","family":"Lucht","given":"Wolfgang","non-dropping-particle":"","parse-names":false,"suffix":""},{"dropping-particle":"","family":"Medlyn","given":"Belinda","non-dropping-particle":"","parse-names":false,"suffix":""},{"dropping-particle":"","family":"Pfeifer","given":"Marion","non-dropping-particle":"","parse-names":false,"suffix":""},{"dropping-particle":"","family":"Steinkamp","given":"Jörg","non-dropping-particle":"","parse-names":false,"suffix":""},{"dropping-particle":"","family":"Vanderwel","given":"Mark C.","non-dropping-particle":"","parse-names":false,"suffix":""},{"dropping-particle":"","family":"Verbeeck","given":"Hans","non-dropping-particle":"","parse-names":false,"suffix":""},{"dropping-particle":"","family":"Villela","given":"Dora M.","non-dropping-particle":"","parse-names":false,"suffix":""}],"container-title":"Journal of Ecology","id":"ITEM-1","issue":"1","issued":{"date-parts":[["2015","1","1"]]},"page":"5-15","publisher":"Blackwell Publishing Ltd","title":"Forest resilience and tipping points at different spatio-temporal scales: Approaches and challenges","type":"article-journal","volume":"103"},"uris":["http://www.mendeley.com/documents/?uuid=19c97174-20ef-32f4-9a55-fd1d82d6fff2"]}],"mendeley":{"formattedCitation":"&lt;sup&gt;5&lt;/sup&gt;","plainTextFormattedCitation":"5","previouslyFormattedCitation":"&lt;sup&gt;5&lt;/sup&gt;"},"properties":{"noteIndex":0},"schema":"https://github.com/citation-style-language/schema/raw/master/csl-citation.json"}</w:instrText>
      </w:r>
      <w:r w:rsidR="00241583">
        <w:rPr>
          <w:rFonts w:eastAsia="Times New Roman" w:cs="Arial"/>
          <w:color w:val="000000"/>
          <w:lang w:val="de-DE"/>
        </w:rPr>
        <w:fldChar w:fldCharType="separate"/>
      </w:r>
      <w:r w:rsidR="00241583" w:rsidRPr="00241583">
        <w:rPr>
          <w:rFonts w:eastAsia="Times New Roman" w:cs="Arial"/>
          <w:noProof/>
          <w:color w:val="000000"/>
          <w:vertAlign w:val="superscript"/>
          <w:lang w:val="de-DE"/>
        </w:rPr>
        <w:t>5</w:t>
      </w:r>
      <w:r w:rsidR="00241583">
        <w:rPr>
          <w:rFonts w:eastAsia="Times New Roman" w:cs="Arial"/>
          <w:color w:val="000000"/>
          <w:lang w:val="de-DE"/>
        </w:rPr>
        <w:fldChar w:fldCharType="end"/>
      </w:r>
      <w:r w:rsidRPr="005B7379">
        <w:rPr>
          <w:rFonts w:eastAsia="Times New Roman" w:cs="Arial"/>
          <w:color w:val="000000"/>
          <w:lang w:val="de-DE"/>
        </w:rPr>
        <w:t>.</w:t>
      </w:r>
    </w:p>
    <w:p w14:paraId="144C5F40" w14:textId="5233802E" w:rsidR="005B7379" w:rsidRPr="006429F0" w:rsidRDefault="0090638A" w:rsidP="005B7379">
      <w:pPr>
        <w:pStyle w:val="berschrift3"/>
        <w:rPr>
          <w:lang w:val="en-US"/>
        </w:rPr>
      </w:pPr>
      <w:r>
        <w:rPr>
          <w:lang w:val="en-US"/>
        </w:rPr>
        <w:t>Adaptation to climate change in forest managment</w:t>
      </w:r>
      <w:r>
        <w:rPr>
          <w:lang w:val="en-US"/>
        </w:rPr>
        <w:fldChar w:fldCharType="begin" w:fldLock="1"/>
      </w:r>
      <w:r>
        <w:rPr>
          <w:lang w:val="en-US"/>
        </w:rPr>
        <w:instrText>ADDIN CSL_CITATION {"citationItems":[{"id":"ITEM-1","itemData":{"DOI":"10.1080/14693062.2016.1222261","ISSN":"17527457","abstract":"Climate change is expected to disproportionately affect agriculture in Bangladesh; however, there is limited information on smallholder farmers’ overall vulnerability and adaptation needs. This article estimates the impact of climatic shocks on the household agricultural income and, subsequently, on farmers’ adaptation strategies. Relying on data from a survey conducted in several communities in Bangladesh in 2011 and based on an IV probit approach, the results show that a 1 percentage point (pp) climate-induced decline in agricultural income pushes Bangladeshi households to adapt by almost 3 pp. Moreover, Bangladeshi farmers undertake a variety of adaptation options. However, several barriers to adaptation were identified, noticeably access to electricity and wealth. In this respect, policies can be implemented in order to assist the Bangladeshi farming community to adapt to climate change. Policy relevance This study contributes to the literature of adaptation to climate change by providing evidence of existing risk-coping strategies and by showing how a household’s ability to adapt to weather-related risk can be limited. This study helps to inform the design of policy in the context of increasing climatic stress on the smallholder farmers in Bangladesh.","author":[{"dropping-particle":"","family":"Spittlehouse","given":"David L.","non-dropping-particle":"","parse-names":false,"suffix":""},{"dropping-particle":"","family":"Stewart","given":"Robert B.","non-dropping-particle":"","parse-names":false,"suffix":""}],"container-title":"BC Journal of Ecosystems and Management","id":"ITEM-1","issue":"1","issued":{"date-parts":[["2018"]]},"page":"49-62","title":"Adaptation to climate change in forest management","type":"article-journal","volume":"18"},"uris":["http://www.mendeley.com/documents/?uuid=b9e37ecb-45a8-4eae-9842-aeb08e7fe115"]}],"mendeley":{"formattedCitation":"&lt;sup&gt;20&lt;/sup&gt;","plainTextFormattedCitation":"20","previouslyFormattedCitation":"&lt;sup&gt;20&lt;/sup&gt;"},"properties":{"noteIndex":0},"schema":"https://github.com/citation-style-language/schema/raw/master/csl-citation.json"}</w:instrText>
      </w:r>
      <w:r>
        <w:rPr>
          <w:lang w:val="en-US"/>
        </w:rPr>
        <w:fldChar w:fldCharType="separate"/>
      </w:r>
      <w:r w:rsidRPr="0090638A">
        <w:rPr>
          <w:noProof/>
          <w:vertAlign w:val="superscript"/>
          <w:lang w:val="en-US"/>
        </w:rPr>
        <w:t>20</w:t>
      </w:r>
      <w:r>
        <w:rPr>
          <w:lang w:val="en-US"/>
        </w:rPr>
        <w:fldChar w:fldCharType="end"/>
      </w:r>
      <w:r w:rsidR="005B7379" w:rsidRPr="006429F0">
        <w:rPr>
          <w:lang w:val="en-US"/>
        </w:rPr>
        <w:t xml:space="preserve">  </w:t>
      </w:r>
    </w:p>
    <w:p w14:paraId="19B71A83" w14:textId="61919598" w:rsidR="00FF314C" w:rsidRDefault="0090638A" w:rsidP="006E2D8E">
      <w:pPr>
        <w:pStyle w:val="Listenabsatz"/>
        <w:numPr>
          <w:ilvl w:val="0"/>
          <w:numId w:val="9"/>
        </w:numPr>
        <w:jc w:val="both"/>
        <w:textAlignment w:val="baseline"/>
        <w:rPr>
          <w:rFonts w:eastAsia="Times New Roman" w:cs="Arial"/>
          <w:color w:val="000000"/>
          <w:lang w:val="de-DE"/>
        </w:rPr>
      </w:pPr>
      <w:r>
        <w:rPr>
          <w:rFonts w:eastAsia="Times New Roman" w:cs="Arial"/>
          <w:color w:val="000000"/>
          <w:lang w:val="de-DE"/>
        </w:rPr>
        <w:t>Die Resilienz von Wäldern gegenüber dem Klimawandel kann gefördert werden, indem die Anpassung des Waldes an neue Gegebenheiten gezielt beeinflusst wird</w:t>
      </w:r>
    </w:p>
    <w:p w14:paraId="2924C176" w14:textId="118C9EA2" w:rsidR="0090638A" w:rsidRDefault="0090638A" w:rsidP="006E2D8E">
      <w:pPr>
        <w:pStyle w:val="Listenabsatz"/>
        <w:numPr>
          <w:ilvl w:val="0"/>
          <w:numId w:val="9"/>
        </w:numPr>
        <w:jc w:val="both"/>
        <w:textAlignment w:val="baseline"/>
        <w:rPr>
          <w:rFonts w:eastAsia="Times New Roman" w:cs="Arial"/>
          <w:color w:val="000000"/>
          <w:lang w:val="de-DE"/>
        </w:rPr>
      </w:pPr>
      <w:r>
        <w:rPr>
          <w:rFonts w:eastAsia="Times New Roman" w:cs="Arial"/>
          <w:color w:val="000000"/>
          <w:lang w:val="de-DE"/>
        </w:rPr>
        <w:t xml:space="preserve">Mögliche </w:t>
      </w:r>
      <w:proofErr w:type="spellStart"/>
      <w:r>
        <w:rPr>
          <w:rFonts w:eastAsia="Times New Roman" w:cs="Arial"/>
          <w:color w:val="000000"/>
          <w:lang w:val="de-DE"/>
        </w:rPr>
        <w:t>Massnahmen</w:t>
      </w:r>
      <w:proofErr w:type="spellEnd"/>
      <w:r>
        <w:rPr>
          <w:rFonts w:eastAsia="Times New Roman" w:cs="Arial"/>
          <w:color w:val="000000"/>
          <w:lang w:val="de-DE"/>
        </w:rPr>
        <w:t xml:space="preserve">: Andere Genotypen bzw. andere Arten, Ausdünnung, Rotationslänge anpassen, </w:t>
      </w:r>
      <w:proofErr w:type="gramStart"/>
      <w:r>
        <w:rPr>
          <w:rFonts w:eastAsia="Times New Roman" w:cs="Arial"/>
          <w:color w:val="000000"/>
          <w:lang w:val="de-DE"/>
        </w:rPr>
        <w:t>Landschaftsplanung</w:t>
      </w:r>
      <w:proofErr w:type="gramEnd"/>
      <w:r>
        <w:rPr>
          <w:rFonts w:eastAsia="Times New Roman" w:cs="Arial"/>
          <w:color w:val="000000"/>
          <w:lang w:val="de-DE"/>
        </w:rPr>
        <w:t xml:space="preserve"> um Ausbreitung von Insekten und Krankheiten zu minimieren, alternative Erntepraktiken</w:t>
      </w:r>
    </w:p>
    <w:p w14:paraId="36EB2562" w14:textId="7604B1CC" w:rsidR="00C97327" w:rsidRPr="00C97327" w:rsidRDefault="00C97327" w:rsidP="00C97327">
      <w:pPr>
        <w:pStyle w:val="berschrift3"/>
        <w:rPr>
          <w:lang w:val="en-US"/>
        </w:rPr>
      </w:pPr>
      <w:r w:rsidRPr="00C97327">
        <w:rPr>
          <w:lang w:val="en-US"/>
        </w:rPr>
        <w:t>Forest resilience, biodiversity, and climate change: a synthesis of the biodiversity, resilience, stability relationship in forest ecosystems</w:t>
      </w:r>
      <w:r w:rsidR="00D337D8">
        <w:rPr>
          <w:lang w:val="en-US"/>
        </w:rPr>
        <w:fldChar w:fldCharType="begin" w:fldLock="1"/>
      </w:r>
      <w:r w:rsidR="00D337D8">
        <w:rPr>
          <w:lang w:val="en-US"/>
        </w:rPr>
        <w:instrText>ADDIN CSL_CITATION {"citationItems":[{"id":"ITEM-1","itemData":{"ISBN":"9292251376","abstract":"Glossary -- Foreword -- Summary for policy-makers -- Introduction -- Genetic diversity and resilience to change -- The relationships among biodiversity, productivity and function, and resilience and stability -- Resilience, biodiversity, and forest carbon dynamics -- Case studies of forest resilience and comparisons under climate change by forest biome -- Conclusions and ecological principles -- Literature cited.","author":[{"dropping-particle":"","family":"Thompson","given":"Ian","non-dropping-particle":"","parse-names":false,"suffix":""},{"dropping-particle":"","family":"Mackey","given":"Brendan","non-dropping-particle":"","parse-names":false,"suffix":""},{"dropping-particle":"","family":"McNulty","given":"Steven","non-dropping-particle":"","parse-names":false,"suffix":""},{"dropping-particle":"","family":"Mosseler","given":"Alex","non-dropping-particle":"","parse-names":false,"suffix":""},{"dropping-particle":"","family":"Secretariat of the convention on the biological diversity","given":"","non-dropping-particle":"","parse-names":false,"suffix":""}],"id":"ITEM-1","issued":{"date-parts":[["0"]]},"number-of-pages":"67","title":"Forest resilience, biodiversity, and climate change : a synthesis of the biodiversity, resilience, stabiblity relationship in forest ecosystems","type":"book"},"uris":["http://www.mendeley.com/documents/?uuid=7e0fcd81-d2f3-376d-a090-8088fa9829e3"]}],"mendeley":{"formattedCitation":"&lt;sup&gt;8&lt;/sup&gt;","plainTextFormattedCitation":"8","previouslyFormattedCitation":"&lt;sup&gt;8&lt;/sup&gt;"},"properties":{"noteIndex":0},"schema":"https://github.com/citation-style-language/schema/raw/master/csl-citation.json"}</w:instrText>
      </w:r>
      <w:r w:rsidR="00D337D8">
        <w:rPr>
          <w:lang w:val="en-US"/>
        </w:rPr>
        <w:fldChar w:fldCharType="separate"/>
      </w:r>
      <w:r w:rsidR="00D337D8" w:rsidRPr="00D337D8">
        <w:rPr>
          <w:noProof/>
          <w:vertAlign w:val="superscript"/>
          <w:lang w:val="en-US"/>
        </w:rPr>
        <w:t>8</w:t>
      </w:r>
      <w:r w:rsidR="00D337D8">
        <w:rPr>
          <w:lang w:val="en-US"/>
        </w:rPr>
        <w:fldChar w:fldCharType="end"/>
      </w:r>
      <w:r w:rsidRPr="00C97327">
        <w:rPr>
          <w:lang w:val="en-US"/>
        </w:rPr>
        <w:t xml:space="preserve"> </w:t>
      </w:r>
    </w:p>
    <w:p w14:paraId="7A470694" w14:textId="77777777" w:rsidR="00FF314C" w:rsidRPr="00110D43" w:rsidRDefault="00FF314C" w:rsidP="006E2D8E">
      <w:pPr>
        <w:pStyle w:val="Listenabsatz"/>
        <w:numPr>
          <w:ilvl w:val="0"/>
          <w:numId w:val="10"/>
        </w:numPr>
        <w:jc w:val="both"/>
        <w:textAlignment w:val="baseline"/>
        <w:rPr>
          <w:rFonts w:eastAsia="Times New Roman" w:cs="Arial"/>
          <w:color w:val="000000"/>
          <w:lang w:val="de-DE"/>
        </w:rPr>
      </w:pPr>
      <w:r>
        <w:rPr>
          <w:rFonts w:eastAsia="Times New Roman" w:cs="Arial"/>
          <w:color w:val="000000"/>
          <w:lang w:val="de-DE"/>
        </w:rPr>
        <w:t xml:space="preserve">Definition Resilienz: </w:t>
      </w:r>
      <w:r w:rsidRPr="00110D43">
        <w:rPr>
          <w:rFonts w:eastAsia="Times New Roman" w:cs="Arial"/>
          <w:color w:val="000000"/>
          <w:lang w:val="de-DE"/>
        </w:rPr>
        <w:t>Fähigkeit äußere</w:t>
      </w:r>
      <w:r>
        <w:rPr>
          <w:rFonts w:eastAsia="Times New Roman" w:cs="Arial"/>
          <w:color w:val="000000"/>
          <w:lang w:val="de-DE"/>
        </w:rPr>
        <w:t xml:space="preserve">n Belastungen standzuhalten, in </w:t>
      </w:r>
      <w:r w:rsidRPr="00110D43">
        <w:rPr>
          <w:rFonts w:eastAsia="Times New Roman" w:cs="Arial"/>
          <w:color w:val="000000"/>
          <w:lang w:val="de-DE"/>
        </w:rPr>
        <w:t xml:space="preserve">Zustand </w:t>
      </w:r>
      <w:r>
        <w:rPr>
          <w:rFonts w:eastAsia="Times New Roman" w:cs="Arial"/>
          <w:color w:val="000000"/>
          <w:lang w:val="de-DE"/>
        </w:rPr>
        <w:t>vor Störung zurückzukehren</w:t>
      </w:r>
    </w:p>
    <w:p w14:paraId="11D45E4C" w14:textId="77777777" w:rsidR="00FF314C" w:rsidRPr="00110D43" w:rsidRDefault="00FF314C" w:rsidP="006E2D8E">
      <w:pPr>
        <w:pStyle w:val="Listenabsatz"/>
        <w:numPr>
          <w:ilvl w:val="0"/>
          <w:numId w:val="10"/>
        </w:numPr>
        <w:jc w:val="both"/>
        <w:textAlignment w:val="baseline"/>
        <w:rPr>
          <w:rFonts w:eastAsia="Times New Roman" w:cs="Arial"/>
          <w:color w:val="000000"/>
          <w:lang w:val="de-DE"/>
        </w:rPr>
      </w:pPr>
      <w:r>
        <w:rPr>
          <w:rFonts w:eastAsia="Times New Roman" w:cs="Arial"/>
          <w:color w:val="000000"/>
          <w:lang w:val="de-DE"/>
        </w:rPr>
        <w:t xml:space="preserve">Faktoren Widerstandsfähigkeit: Artenvielfalt, </w:t>
      </w:r>
      <w:r w:rsidRPr="00110D43">
        <w:rPr>
          <w:rFonts w:eastAsia="Times New Roman" w:cs="Arial"/>
          <w:color w:val="000000"/>
          <w:lang w:val="de-DE"/>
        </w:rPr>
        <w:t>genetische Variabilität</w:t>
      </w:r>
      <w:r>
        <w:rPr>
          <w:rFonts w:eastAsia="Times New Roman" w:cs="Arial"/>
          <w:color w:val="000000"/>
          <w:lang w:val="de-DE"/>
        </w:rPr>
        <w:t>,</w:t>
      </w:r>
      <w:r w:rsidRPr="00110D43">
        <w:rPr>
          <w:rFonts w:eastAsia="Times New Roman" w:cs="Arial"/>
          <w:color w:val="000000"/>
          <w:lang w:val="de-DE"/>
        </w:rPr>
        <w:t xml:space="preserve"> </w:t>
      </w:r>
      <w:r>
        <w:rPr>
          <w:rFonts w:eastAsia="Times New Roman" w:cs="Arial"/>
          <w:color w:val="000000"/>
          <w:lang w:val="de-DE"/>
        </w:rPr>
        <w:t>regionale Arten- und Ökosystempool, Größe der Waldökosysteme, Zustand der umgebenden Landschaft</w:t>
      </w:r>
    </w:p>
    <w:p w14:paraId="2F83FF2B" w14:textId="197E2C50" w:rsidR="005B7379" w:rsidRPr="00C97327" w:rsidRDefault="005B7379" w:rsidP="005B7379">
      <w:pPr>
        <w:pStyle w:val="berschrift3"/>
        <w:rPr>
          <w:lang w:val="en-US"/>
        </w:rPr>
      </w:pPr>
      <w:r w:rsidRPr="00C97327">
        <w:rPr>
          <w:lang w:val="en-US"/>
        </w:rPr>
        <w:t>Restoration of forest resilience: An achievable goal?</w:t>
      </w:r>
      <w:r w:rsidR="00D337D8">
        <w:rPr>
          <w:lang w:val="en-US"/>
        </w:rPr>
        <w:fldChar w:fldCharType="begin" w:fldLock="1"/>
      </w:r>
      <w:r w:rsidR="00EB3E0D">
        <w:rPr>
          <w:lang w:val="en-US"/>
        </w:rPr>
        <w:instrText>ADDIN CSL_CITATION {"citationItems":[{"id":"ITEM-1","itemData":{"DOI":"10.1007/s11056-015-9489-1","ISSN":"15735095","abstract":"Although the concept of resilience is increasingly being incorporated into environmental policy and linked to ecological restoration goals, there is considerable uncertainty regarding how resilience should be defined and measured in practice. Here we briefly review some of the definitions of resilience that have been proposed, including those referred to as “ecological” and “engineering” resilience. We also examine evidence for the existence of multiple stable states in forest ecosystems, on which concepts of ecological resilience are based. As evidence for multiple stable states is limited, we suggest that ecological resilience may often have limited value as a goal for forest restoration. We illustrate how engineering resilience can potentially be measured by estimating the rate of forest recovery following disturbance, through analysis of recovery trajectories using meta-analysis and ecological modelling approaches. We also highlight the potential value of resistance as a restoration goal, which can similarly be estimated using such approaches. Based on application of these concepts, we suggest how guidance for restoration practitioners could potentially be developed, to support the practical achievement of both resilience and resistance during forest restoration.","author":[{"dropping-particle":"","family":"Newton","given":"Adrian C.","non-dropping-particle":"","parse-names":false,"suffix":""},{"dropping-particle":"","family":"Cantarello","given":"Elena","non-dropping-particle":"","parse-names":false,"suffix":""}],"container-title":"New Forests","id":"ITEM-1","issue":"5-6","issued":{"date-parts":[["2015","11","1"]]},"page":"645-668","publisher":"Kluwer Academic Publishers","title":"Restoration of forest resilience: An achievable goal?","type":"article-journal","volume":"46"},"uris":["http://www.mendeley.com/documents/?uuid=30a36e50-d591-389b-968d-c0447ef3a8be"]}],"mendeley":{"formattedCitation":"&lt;sup&gt;19&lt;/sup&gt;","plainTextFormattedCitation":"19","previouslyFormattedCitation":"&lt;sup&gt;19&lt;/sup&gt;"},"properties":{"noteIndex":0},"schema":"https://github.com/citation-style-language/schema/raw/master/csl-citation.json"}</w:instrText>
      </w:r>
      <w:r w:rsidR="00D337D8">
        <w:rPr>
          <w:lang w:val="en-US"/>
        </w:rPr>
        <w:fldChar w:fldCharType="separate"/>
      </w:r>
      <w:r w:rsidR="00EB3E0D" w:rsidRPr="00EB3E0D">
        <w:rPr>
          <w:noProof/>
          <w:vertAlign w:val="superscript"/>
          <w:lang w:val="en-US"/>
        </w:rPr>
        <w:t>19</w:t>
      </w:r>
      <w:r w:rsidR="00D337D8">
        <w:rPr>
          <w:lang w:val="en-US"/>
        </w:rPr>
        <w:fldChar w:fldCharType="end"/>
      </w:r>
      <w:r w:rsidRPr="00C97327">
        <w:rPr>
          <w:lang w:val="en-US"/>
        </w:rPr>
        <w:t> </w:t>
      </w:r>
    </w:p>
    <w:p w14:paraId="717B055E" w14:textId="77777777" w:rsidR="00FF314C" w:rsidRPr="00110D43" w:rsidRDefault="00FF314C" w:rsidP="006E2D8E">
      <w:pPr>
        <w:pStyle w:val="Listenabsatz"/>
        <w:numPr>
          <w:ilvl w:val="0"/>
          <w:numId w:val="11"/>
        </w:numPr>
        <w:jc w:val="both"/>
        <w:textAlignment w:val="baseline"/>
        <w:rPr>
          <w:rFonts w:eastAsia="Times New Roman" w:cs="Arial"/>
          <w:color w:val="000000"/>
          <w:lang w:val="de-DE"/>
        </w:rPr>
      </w:pPr>
      <w:r>
        <w:rPr>
          <w:rFonts w:eastAsia="Times New Roman" w:cs="Arial"/>
          <w:color w:val="000000"/>
          <w:lang w:val="de-DE"/>
        </w:rPr>
        <w:t>Definition „ökologische</w:t>
      </w:r>
      <w:r w:rsidRPr="00110D43">
        <w:rPr>
          <w:rFonts w:eastAsia="Times New Roman" w:cs="Arial"/>
          <w:color w:val="000000"/>
          <w:lang w:val="de-DE"/>
        </w:rPr>
        <w:t xml:space="preserve">“ </w:t>
      </w:r>
      <w:r>
        <w:rPr>
          <w:rFonts w:eastAsia="Times New Roman" w:cs="Arial"/>
          <w:color w:val="000000"/>
          <w:lang w:val="de-DE"/>
        </w:rPr>
        <w:t>Resilienz (</w:t>
      </w:r>
      <w:r w:rsidRPr="00694BDD">
        <w:rPr>
          <w:rFonts w:eastAsia="Times New Roman" w:cs="Arial"/>
          <w:color w:val="000000"/>
          <w:lang w:val="de-DE"/>
        </w:rPr>
        <w:t xml:space="preserve">Ausmaß der Störung, </w:t>
      </w:r>
      <w:r>
        <w:rPr>
          <w:rFonts w:eastAsia="Times New Roman" w:cs="Arial"/>
          <w:color w:val="000000"/>
          <w:lang w:val="de-DE"/>
        </w:rPr>
        <w:t xml:space="preserve">das ein System absorbieren kann, bevor es in </w:t>
      </w:r>
      <w:r w:rsidRPr="00694BDD">
        <w:rPr>
          <w:rFonts w:eastAsia="Times New Roman" w:cs="Arial"/>
          <w:color w:val="000000"/>
          <w:lang w:val="de-DE"/>
        </w:rPr>
        <w:t>anderen stabilen Zustand wechselt</w:t>
      </w:r>
      <w:r>
        <w:rPr>
          <w:rFonts w:eastAsia="Times New Roman" w:cs="Arial"/>
          <w:color w:val="000000"/>
          <w:lang w:val="de-DE"/>
        </w:rPr>
        <w:t>) und „technische</w:t>
      </w:r>
      <w:r w:rsidRPr="00110D43">
        <w:rPr>
          <w:rFonts w:eastAsia="Times New Roman" w:cs="Arial"/>
          <w:color w:val="000000"/>
          <w:lang w:val="de-DE"/>
        </w:rPr>
        <w:t>“ Resilienz</w:t>
      </w:r>
      <w:r>
        <w:rPr>
          <w:rFonts w:eastAsia="Times New Roman" w:cs="Arial"/>
          <w:color w:val="000000"/>
          <w:lang w:val="de-DE"/>
        </w:rPr>
        <w:t xml:space="preserve"> (benötigte </w:t>
      </w:r>
      <w:proofErr w:type="gramStart"/>
      <w:r>
        <w:rPr>
          <w:rFonts w:eastAsia="Times New Roman" w:cs="Arial"/>
          <w:color w:val="000000"/>
          <w:lang w:val="de-DE"/>
        </w:rPr>
        <w:t>Zeit</w:t>
      </w:r>
      <w:proofErr w:type="gramEnd"/>
      <w:r>
        <w:rPr>
          <w:rFonts w:eastAsia="Times New Roman" w:cs="Arial"/>
          <w:color w:val="000000"/>
          <w:lang w:val="de-DE"/>
        </w:rPr>
        <w:t xml:space="preserve"> um nach Störung zu </w:t>
      </w:r>
      <w:r w:rsidRPr="00694BDD">
        <w:rPr>
          <w:rFonts w:eastAsia="Times New Roman" w:cs="Arial"/>
          <w:color w:val="000000"/>
          <w:lang w:val="de-DE"/>
        </w:rPr>
        <w:t>Gleichgewichtspunkt zurückzukehren</w:t>
      </w:r>
      <w:r>
        <w:rPr>
          <w:rFonts w:eastAsia="Times New Roman" w:cs="Arial"/>
          <w:color w:val="000000"/>
          <w:lang w:val="de-DE"/>
        </w:rPr>
        <w:t>)</w:t>
      </w:r>
    </w:p>
    <w:p w14:paraId="7F500A3A" w14:textId="37243434" w:rsidR="00C97327" w:rsidRPr="00C97327" w:rsidRDefault="00C97327" w:rsidP="00C97327">
      <w:pPr>
        <w:pStyle w:val="berschrift3"/>
        <w:rPr>
          <w:lang w:val="en-US"/>
        </w:rPr>
      </w:pPr>
      <w:r w:rsidRPr="00C97327">
        <w:rPr>
          <w:lang w:val="en-US"/>
        </w:rPr>
        <w:t>Anthropogenic alterations of genetic diversity within tree populations: Implications for forest ecosystem resilience</w:t>
      </w:r>
      <w:r w:rsidR="00D337D8">
        <w:rPr>
          <w:lang w:val="en-US"/>
        </w:rPr>
        <w:fldChar w:fldCharType="begin" w:fldLock="1"/>
      </w:r>
      <w:r w:rsidR="00EB3E0D">
        <w:rPr>
          <w:lang w:val="en-US"/>
        </w:rPr>
        <w:instrText>ADDIN CSL_CITATION {"citationItems":[{"id":"ITEM-1","itemData":{"DOI":"10.1016/j.foreco.2008.06.038","ISSN":"03781127","abstract":"Healthy forests provide many of the essential ecosystem services upon which all life depends. Genetic diversity is an essential component of long-term forest health because it provides a basis for adaptation and resilience to environmental stress and change. In addition to natural processes, numerous anthropogenic factors deplete forest genetic resources. Genetic losses could be particularly consequential now because robust resilience is needed to respond to a growing number, variety, and frequency of stress exposures. Silvicultural management that selectively removes trees (and their genes) from forests may be another force reshaping forest gene pools. Although data concerning the influence of silvicultural management on genetic resources in temperate forests is somewhat mixed, through the genetic assessment of long-term silvicultural treatments within an eastern hemlock (Tsuga canadensis) forest, and computer-based simulated harvests of a genetically mapped eastern white pine (Pinus strobus) stand, we found that the selective removal of trees can alter gene frequencies. Due to an association with phenotypic characteristics used to guide harvests, the frequencies of rare alleles appeared particularly vulnerable to manipulation. Depending on the selection criteria used, rare allele frequencies either remained steady, decreased, or increased relative to study controls. Although harvest-associated genetic losses are possible, our data suggests that management can also sustain or enhance genetic richness. Similar to studies within temperate ecosystems, recent research in tropical forests underscores the potential influence of harvesting on the genetics of tree populations. In addition to efforts to reduce controllable sources of ecosystem stress (e.g., high pollutant exposures), management options should be evaluated that may bolster forest ecosystem resilience by preserving levels of genetic diversity within forests.","author":[{"dropping-particle":"","family":"Schaberg","given":"Paul G.","non-dropping-particle":"","parse-names":false,"suffix":""},{"dropping-particle":"","family":"DeHayes","given":"Donald H.","non-dropping-particle":"","parse-names":false,"suffix":""},{"dropping-particle":"","family":"Hawley","given":"Gary J.","non-dropping-particle":"","parse-names":false,"suffix":""},{"dropping-particle":"","family":"Nijensohn","given":"Samuel E.","non-dropping-particle":"","parse-names":false,"suffix":""}],"container-title":"Forest Ecology and Management","id":"ITEM-1","issued":{"date-parts":[["2008"]]},"title":"Anthropogenic alterations of genetic diversity within tree populations: Implications for forest ecosystem resilience","type":"article"},"uris":["http://www.mendeley.com/documents/?uuid=ac18036c-c8b4-39d7-80fc-2dd2e438e95c"]}],"mendeley":{"formattedCitation":"&lt;sup&gt;18&lt;/sup&gt;","plainTextFormattedCitation":"18","previouslyFormattedCitation":"&lt;sup&gt;18&lt;/sup&gt;"},"properties":{"noteIndex":0},"schema":"https://github.com/citation-style-language/schema/raw/master/csl-citation.json"}</w:instrText>
      </w:r>
      <w:r w:rsidR="00D337D8">
        <w:rPr>
          <w:lang w:val="en-US"/>
        </w:rPr>
        <w:fldChar w:fldCharType="separate"/>
      </w:r>
      <w:r w:rsidR="00EB3E0D" w:rsidRPr="00EB3E0D">
        <w:rPr>
          <w:noProof/>
          <w:vertAlign w:val="superscript"/>
          <w:lang w:val="en-US"/>
        </w:rPr>
        <w:t>18</w:t>
      </w:r>
      <w:r w:rsidR="00D337D8">
        <w:rPr>
          <w:lang w:val="en-US"/>
        </w:rPr>
        <w:fldChar w:fldCharType="end"/>
      </w:r>
    </w:p>
    <w:p w14:paraId="51134CB9" w14:textId="77777777" w:rsidR="00FF314C" w:rsidRDefault="00FF314C" w:rsidP="006E2D8E">
      <w:pPr>
        <w:pStyle w:val="Listenabsatz"/>
        <w:numPr>
          <w:ilvl w:val="0"/>
          <w:numId w:val="12"/>
        </w:numPr>
        <w:jc w:val="both"/>
        <w:textAlignment w:val="baseline"/>
        <w:rPr>
          <w:rFonts w:eastAsia="Times New Roman" w:cs="Arial"/>
          <w:color w:val="000000"/>
          <w:lang w:val="de-DE"/>
        </w:rPr>
      </w:pPr>
      <w:r w:rsidRPr="00110D43">
        <w:rPr>
          <w:rFonts w:eastAsia="Times New Roman" w:cs="Arial"/>
          <w:color w:val="000000"/>
          <w:lang w:val="de-DE"/>
        </w:rPr>
        <w:t>Die genetische Vielfalt innerhalb der Arten, möglicherweise insbesondere das Vorhandensein seltener Allele, ist ein Bestandteil de</w:t>
      </w:r>
      <w:r>
        <w:rPr>
          <w:rFonts w:eastAsia="Times New Roman" w:cs="Arial"/>
          <w:color w:val="000000"/>
          <w:lang w:val="de-DE"/>
        </w:rPr>
        <w:t>r Resilienz des Waldökosystems</w:t>
      </w:r>
    </w:p>
    <w:p w14:paraId="6C734705" w14:textId="77777777" w:rsidR="00FF314C" w:rsidRPr="00110D43" w:rsidRDefault="00FF314C" w:rsidP="006E2D8E">
      <w:pPr>
        <w:pStyle w:val="Listenabsatz"/>
        <w:numPr>
          <w:ilvl w:val="0"/>
          <w:numId w:val="12"/>
        </w:numPr>
        <w:jc w:val="both"/>
        <w:textAlignment w:val="baseline"/>
        <w:rPr>
          <w:rFonts w:eastAsia="Times New Roman" w:cs="Arial"/>
          <w:color w:val="000000"/>
          <w:lang w:val="de-DE"/>
        </w:rPr>
      </w:pPr>
      <w:r w:rsidRPr="00110D43">
        <w:rPr>
          <w:rFonts w:eastAsia="Times New Roman" w:cs="Arial"/>
          <w:color w:val="000000"/>
          <w:lang w:val="de-DE"/>
        </w:rPr>
        <w:t>Seltene Allele bieten eine Grundlage für die Anpassung einer Population und das Übe</w:t>
      </w:r>
      <w:r>
        <w:rPr>
          <w:rFonts w:eastAsia="Times New Roman" w:cs="Arial"/>
          <w:color w:val="000000"/>
          <w:lang w:val="de-DE"/>
        </w:rPr>
        <w:t>rleben nach Umweltveränderungen</w:t>
      </w:r>
    </w:p>
    <w:p w14:paraId="784BC122" w14:textId="3A05CFFC" w:rsidR="00C97327" w:rsidRPr="00C97327" w:rsidRDefault="00C97327" w:rsidP="00C97327">
      <w:pPr>
        <w:pStyle w:val="berschrift3"/>
        <w:rPr>
          <w:lang w:val="en-US"/>
        </w:rPr>
      </w:pPr>
      <w:r w:rsidRPr="00C97327">
        <w:rPr>
          <w:lang w:val="en-US"/>
        </w:rPr>
        <w:t xml:space="preserve">Forest resilience and tipping points at different </w:t>
      </w:r>
      <w:proofErr w:type="spellStart"/>
      <w:r w:rsidRPr="00C97327">
        <w:rPr>
          <w:lang w:val="en-US"/>
        </w:rPr>
        <w:t>spatio</w:t>
      </w:r>
      <w:proofErr w:type="spellEnd"/>
      <w:r w:rsidRPr="00C97327">
        <w:rPr>
          <w:lang w:val="en-US"/>
        </w:rPr>
        <w:t>-temporal scales: approaches and challenges</w:t>
      </w:r>
      <w:r w:rsidR="00C01E64">
        <w:rPr>
          <w:lang w:val="en-US"/>
        </w:rPr>
        <w:fldChar w:fldCharType="begin" w:fldLock="1"/>
      </w:r>
      <w:r w:rsidR="00C01E64">
        <w:rPr>
          <w:lang w:val="en-US"/>
        </w:rPr>
        <w:instrText>ADDIN CSL_CITATION {"citationItems":[{"id":"ITEM-1","itemData":{"DOI":"10.1111/1365-2745.12337","ISSN":"13652745","abstract":"Summary: Anthropogenic global change compromises forest resilience, with profound impacts to ecosystem functions and services. This synthesis paper reflects on the current understanding of forest resilience and potential tipping points under environmental change and explores challenges to assessing responses using experiments, observations and models. Forests are changing over a wide range of spatio-temporal scales, but it is often unclear whether these changes reduce resilience or represent a tipping point. Tipping points may arise from interactions across scales, as processes such as climate change, land-use change, invasive species or deforestation gradually erode resilience and increase vulnerability to extreme events. Studies covering interactions across different spatio-temporal scales are needed to further our understanding. Combinations of experiments, observations and process-based models could improve our ability to project forest resilience and tipping points under global change. We discuss uncertainties in changing CO2 concentration and quantifying tree mortality as examples. Synthesis.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management.","author":[{"dropping-particle":"","family":"Reyer","given":"Christopher P.O.","non-dropping-particle":"","parse-names":false,"suffix":""},{"dropping-particle":"","family":"Brouwers","given":"Niels","non-dropping-particle":"","parse-names":false,"suffix":""},{"dropping-particle":"","family":"Rammig","given":"Anja","non-dropping-particle":"","parse-names":false,"suffix":""},{"dropping-particle":"","family":"Brook","given":"Barry W.","non-dropping-particle":"","parse-names":false,"suffix":""},{"dropping-particle":"","family":"Epila","given":"Jackie","non-dropping-particle":"","parse-names":false,"suffix":""},{"dropping-particle":"","family":"Grant","given":"Robert F.","non-dropping-particle":"","parse-names":false,"suffix":""},{"dropping-particle":"","family":"Holmgren","given":"Milena","non-dropping-particle":"","parse-names":false,"suffix":""},{"dropping-particle":"","family":"Langerwisch","given":"Fanny","non-dropping-particle":"","parse-names":false,"suffix":""},{"dropping-particle":"","family":"Leuzinger","given":"Sebastian","non-dropping-particle":"","parse-names":false,"suffix":""},{"dropping-particle":"","family":"Lucht","given":"Wolfgang","non-dropping-particle":"","parse-names":false,"suffix":""},{"dropping-particle":"","family":"Medlyn","given":"Belinda","non-dropping-particle":"","parse-names":false,"suffix":""},{"dropping-particle":"","family":"Pfeifer","given":"Marion","non-dropping-particle":"","parse-names":false,"suffix":""},{"dropping-particle":"","family":"Steinkamp","given":"Jörg","non-dropping-particle":"","parse-names":false,"suffix":""},{"dropping-particle":"","family":"Vanderwel","given":"Mark C.","non-dropping-particle":"","parse-names":false,"suffix":""},{"dropping-particle":"","family":"Verbeeck","given":"Hans","non-dropping-particle":"","parse-names":false,"suffix":""},{"dropping-particle":"","family":"Villela","given":"Dora M.","non-dropping-particle":"","parse-names":false,"suffix":""}],"container-title":"Journal of Ecology","id":"ITEM-1","issue":"1","issued":{"date-parts":[["2015","1","1"]]},"page":"5-15","publisher":"Blackwell Publishing Ltd","title":"Forest resilience and tipping points at different spatio-temporal scales: Approaches and challenges","type":"article-journal","volume":"103"},"uris":["http://www.mendeley.com/documents/?uuid=19c97174-20ef-32f4-9a55-fd1d82d6fff2"]}],"mendeley":{"formattedCitation":"&lt;sup&gt;5&lt;/sup&gt;","plainTextFormattedCitation":"5","previouslyFormattedCitation":"&lt;sup&gt;5&lt;/sup&gt;"},"properties":{"noteIndex":0},"schema":"https://github.com/citation-style-language/schema/raw/master/csl-citation.json"}</w:instrText>
      </w:r>
      <w:r w:rsidR="00C01E64">
        <w:rPr>
          <w:lang w:val="en-US"/>
        </w:rPr>
        <w:fldChar w:fldCharType="separate"/>
      </w:r>
      <w:r w:rsidR="00C01E64" w:rsidRPr="00C01E64">
        <w:rPr>
          <w:noProof/>
          <w:vertAlign w:val="superscript"/>
          <w:lang w:val="en-US"/>
        </w:rPr>
        <w:t>5</w:t>
      </w:r>
      <w:r w:rsidR="00C01E64">
        <w:rPr>
          <w:lang w:val="en-US"/>
        </w:rPr>
        <w:fldChar w:fldCharType="end"/>
      </w:r>
      <w:r w:rsidRPr="00C97327">
        <w:rPr>
          <w:lang w:val="en-US"/>
        </w:rPr>
        <w:t xml:space="preserve">  </w:t>
      </w:r>
    </w:p>
    <w:p w14:paraId="6EDC9021" w14:textId="0BA23A97" w:rsidR="0034696F" w:rsidRPr="00FF314C" w:rsidRDefault="00FF314C" w:rsidP="006E2D8E">
      <w:pPr>
        <w:pStyle w:val="Listenabsatz"/>
        <w:numPr>
          <w:ilvl w:val="0"/>
          <w:numId w:val="13"/>
        </w:numPr>
        <w:jc w:val="both"/>
        <w:textAlignment w:val="baseline"/>
        <w:rPr>
          <w:rFonts w:eastAsia="Times New Roman" w:cs="Arial"/>
          <w:color w:val="000000"/>
          <w:lang w:val="de-DE"/>
        </w:rPr>
      </w:pPr>
      <w:proofErr w:type="spellStart"/>
      <w:r w:rsidRPr="00110D43">
        <w:rPr>
          <w:rFonts w:eastAsia="Times New Roman" w:cs="Arial"/>
          <w:color w:val="000000"/>
          <w:lang w:val="de-DE"/>
        </w:rPr>
        <w:t>Tippi</w:t>
      </w:r>
      <w:r>
        <w:rPr>
          <w:rFonts w:eastAsia="Times New Roman" w:cs="Arial"/>
          <w:color w:val="000000"/>
          <w:lang w:val="de-DE"/>
        </w:rPr>
        <w:t>ng</w:t>
      </w:r>
      <w:proofErr w:type="spellEnd"/>
      <w:r>
        <w:rPr>
          <w:rFonts w:eastAsia="Times New Roman" w:cs="Arial"/>
          <w:color w:val="000000"/>
          <w:lang w:val="de-DE"/>
        </w:rPr>
        <w:t>-Points können durch Prozesse</w:t>
      </w:r>
      <w:r w:rsidRPr="00110D43">
        <w:rPr>
          <w:rFonts w:eastAsia="Times New Roman" w:cs="Arial"/>
          <w:color w:val="000000"/>
          <w:lang w:val="de-DE"/>
        </w:rPr>
        <w:t xml:space="preserve"> wie Klimawandel, Landnutzungsänderungen, invasive Arten oder Entwaldung entstehen, welche die Anfälligkeit</w:t>
      </w:r>
      <w:r>
        <w:rPr>
          <w:rFonts w:eastAsia="Times New Roman" w:cs="Arial"/>
          <w:color w:val="000000"/>
          <w:lang w:val="de-DE"/>
        </w:rPr>
        <w:t xml:space="preserve"> für extreme Ereignisse erhöhen</w:t>
      </w:r>
    </w:p>
    <w:p w14:paraId="512135B8" w14:textId="77777777" w:rsidR="00C01E64" w:rsidRDefault="00C01E64" w:rsidP="00AD5C0D">
      <w:pPr>
        <w:rPr>
          <w:rStyle w:val="Hervorhebung"/>
          <w:lang w:val="de-CH"/>
        </w:rPr>
      </w:pPr>
    </w:p>
    <w:p w14:paraId="0216A8AB" w14:textId="77777777" w:rsidR="00C01E64" w:rsidRDefault="00C01E64" w:rsidP="00AD5C0D">
      <w:pPr>
        <w:rPr>
          <w:rStyle w:val="Hervorhebung"/>
          <w:lang w:val="de-CH"/>
        </w:rPr>
      </w:pPr>
    </w:p>
    <w:p w14:paraId="3A514CE9" w14:textId="77777777" w:rsidR="00C01E64" w:rsidRDefault="00C01E64" w:rsidP="00AD5C0D">
      <w:pPr>
        <w:rPr>
          <w:rStyle w:val="Hervorhebung"/>
          <w:lang w:val="de-CH"/>
        </w:rPr>
      </w:pPr>
    </w:p>
    <w:p w14:paraId="0D5FAF35" w14:textId="77777777" w:rsidR="00B34357" w:rsidRPr="00AD5C0D" w:rsidRDefault="00B34357" w:rsidP="00AD5C0D">
      <w:pPr>
        <w:rPr>
          <w:rStyle w:val="Hervorhebung"/>
          <w:i w:val="0"/>
          <w:iCs w:val="0"/>
          <w:lang w:val="de-CH"/>
        </w:rPr>
      </w:pPr>
      <w:r>
        <w:rPr>
          <w:rStyle w:val="Hervorhebung"/>
          <w:lang w:val="de-CH"/>
        </w:rPr>
        <w:t>Salomé Stauffer</w:t>
      </w:r>
    </w:p>
    <w:p w14:paraId="2AD13A81" w14:textId="74B4D8B3" w:rsidR="00B34357" w:rsidRDefault="00B34357" w:rsidP="00B34357">
      <w:pPr>
        <w:pStyle w:val="berschrift2"/>
        <w:rPr>
          <w:sz w:val="22"/>
          <w:lang w:val="de-CH"/>
        </w:rPr>
      </w:pPr>
      <w:r>
        <w:rPr>
          <w:lang w:val="de-CH"/>
        </w:rPr>
        <w:t xml:space="preserve">Kurzzusammenfassung </w:t>
      </w:r>
    </w:p>
    <w:p w14:paraId="37BE2DD2" w14:textId="61AAFD54" w:rsidR="00B34357" w:rsidRPr="00B34357" w:rsidRDefault="00AD5C0D" w:rsidP="0042406D">
      <w:pPr>
        <w:jc w:val="both"/>
      </w:pPr>
      <w:r>
        <w:rPr>
          <w:lang w:val="de-CH"/>
        </w:rPr>
        <w:t xml:space="preserve">Wälder sind komplexe, dynamische Systeme und Störungen können Wälder via sogenannte </w:t>
      </w:r>
      <w:proofErr w:type="spellStart"/>
      <w:r>
        <w:rPr>
          <w:lang w:val="de-CH"/>
        </w:rPr>
        <w:t>Tipping</w:t>
      </w:r>
      <w:proofErr w:type="spellEnd"/>
      <w:r>
        <w:rPr>
          <w:lang w:val="de-CH"/>
        </w:rPr>
        <w:t xml:space="preserve"> Points in einen neuen Zustand überführen, wenn sie nicht resilient genug sind</w:t>
      </w:r>
      <w:r w:rsidR="00CE05F8">
        <w:rPr>
          <w:lang w:val="de-CH"/>
        </w:rPr>
        <w:t>.</w:t>
      </w:r>
      <w:r>
        <w:rPr>
          <w:lang w:val="de-CH"/>
        </w:rPr>
        <w:fldChar w:fldCharType="begin" w:fldLock="1"/>
      </w:r>
      <w:r w:rsidR="00EB3E0D">
        <w:rPr>
          <w:lang w:val="de-CH"/>
        </w:rPr>
        <w:instrText>ADDIN CSL_CITATION {"citationItems":[{"id":"ITEM-1","itemData":{"DOI":"10.1098/rstb.2019.0115","ISSN":"14712970","abstract":"Forest dynamics are driven by top-down changes in climate and bottom-up positive (destabilizing) and negative (stabilizing) biophysical feedbacks involving disturbance and biotic interactions. When positive feedbacks prevail, the resulting self-propagating changes can potentially shift the system into a new state, even in the absence of climate change. Conversely, negative feedbacks help maintain a dynamic equilibrium that allows communities to recover their pre-disturbance characteristics. We examine palaeoenvironmental records from temperate forests to assess the nature of long-term stability and regime shifts under a broader range of environmental forcings than can be observed at present. Forest histories from northwestern USA, Patagonia, Tasmania and New Zealand show long-term trajectories that were governed by (i) the biophysical template, (ii) characteristics of climate and disturbance, (iii) historical legacies that condition the ecological capacity to respond to subsequent disturbances, and (iv) thresholds that act as irreversible barriers. Attention only to current forest conditions overlooks the significance of history in creating path dependency, the importance of individual extreme events, and the inherent feedbacks that force an ecosystem into reorganization. A long-time perspective on ecological resilience helps guide conservation strategies that focus on environmental preservation as well as identify vulnerable species and ecosystems to future climate change.","author":[{"dropping-particle":"","family":"Iglesias","given":"Virginia","non-dropping-particle":"","parse-names":false,"suffix":""},{"dropping-particle":"","family":"Whitlock","given":"Cathy","non-dropping-particle":"","parse-names":false,"suffix":""}],"container-title":"Philosophical Transactions of the Royal Society B: Biological Sciences","id":"ITEM-1","issue":"1794","issued":{"date-parts":[["2020"]]},"note":"Wälder als komplexe, dynamische Systeme;\nResiliente Ökosysteme bleiben im Gleichgewicht, fallen nicht in neuen Zustand\nnach Störung; Resilienz variiert mit der Waldkomposition; Aktueller Wandel und\nStörungen sind stärker als je zuvor, Reaktion der Wälder schwer vorhersehbar\nmit alten Daten","title":"If the trees burn, is the forest lost? Past dynamics in temperate forests help inform management strategies","type":"article-journal","volume":"375"},"uris":["http://www.mendeley.com/documents/?uuid=24278b6b-1117-3ed4-9820-f1ac884e6983"]}],"mendeley":{"formattedCitation":"&lt;sup&gt;13&lt;/sup&gt;","plainTextFormattedCitation":"13","previouslyFormattedCitation":"&lt;sup&gt;13&lt;/sup&gt;"},"properties":{"noteIndex":0},"schema":"https://github.com/citation-style-language/schema/raw/master/csl-citation.json"}</w:instrText>
      </w:r>
      <w:r>
        <w:rPr>
          <w:lang w:val="de-CH"/>
        </w:rPr>
        <w:fldChar w:fldCharType="separate"/>
      </w:r>
      <w:r w:rsidR="00EB3E0D" w:rsidRPr="00EB3E0D">
        <w:rPr>
          <w:noProof/>
          <w:vertAlign w:val="superscript"/>
          <w:lang w:val="de-CH"/>
        </w:rPr>
        <w:t>13</w:t>
      </w:r>
      <w:r>
        <w:rPr>
          <w:lang w:val="de-CH"/>
        </w:rPr>
        <w:fldChar w:fldCharType="end"/>
      </w:r>
      <w:r>
        <w:rPr>
          <w:lang w:val="de-CH"/>
        </w:rPr>
        <w:t xml:space="preserve"> Verjüngung und Baumsterblichkeit, Artenkomposition, Grösse des Waldökosystems, Managementintensität und Waldnutzung, Dauer der Wachstumssaison und Stärke und Häufigkeit von Störungen sind wichtige Faktoren, die die Resilienz beeinflussen</w:t>
      </w:r>
      <w:r w:rsidR="00CE05F8">
        <w:rPr>
          <w:lang w:val="de-CH"/>
        </w:rPr>
        <w:fldChar w:fldCharType="begin" w:fldLock="1"/>
      </w:r>
      <w:r w:rsidR="00D337D8">
        <w:rPr>
          <w:lang w:val="de-CH"/>
        </w:rPr>
        <w:instrText>ADDIN CSL_CITATION {"citationItems":[{"id":"ITEM-1","itemData":{"DOI":"10.1007/s10021-019-00378-6","ISSN":"14350629","abstract":"Understanding and measuring forest resistance and resilience have emerged as key priorities in ecology and management, particularly to maintain forest functioning. The analysis of the factors involved in a forest’s ability to cope with disturbances is key in identifying forest vulnerability to environmental change. In this study, we apply a procedure based on combining pathway analyses of forest composition and structure with quantitative indices of resistance and resilience to disturbances. We applied our approach to boreal forests affected by a major spruce budworm outbreak in the province of Quebec (Canada). We aimed to identify the main patterns of forest dynamics and the environmental factors affecting these responses. To achieve this goal, we developed quantitative metrics of resistance and resilience. We then compared forests with different pre-disturbance conditions and explored the factors influencing their recovery following disturbance. We found that post-outbreak forest dynamics are determined by distinct resistance and resilience patterns according to dominant species and stand composition and structure. Black spruce forests are highly resistant to spruce budworm outbreaks, but this resistance is conditioned by the length of the defoliation period, with long outbreaks having the potential to lead the system to collapse. In contrast, balsam fir forests easily change to a different composition after outbreaks but are highly resilient when mixed with hardwood species. Overall, the severity of the disturbance and the tree species affected are the main drivers contributing to boreal forest resistance and resilience. Our procedure is valuable to understand post-disturbance dynamics of a broad range of communities and to guide management strategies focused on enhancing the resistance and resilience of the system.","author":[{"dropping-particle":"","family":"Sánchez-Pinillos","given":"Martina","non-dropping-particle":"","parse-names":false,"suffix":""},{"dropping-particle":"","family":"Leduc","given":"Alain","non-dropping-particle":"","parse-names":false,"suffix":""},{"dropping-particle":"","family":"Ameztegui","given":"Aitor","non-dropping-particle":"","parse-names":false,"suffix":""},{"dropping-particle":"","family":"Kneeshaw","given":"Daniel","non-dropping-particle":"","parse-names":false,"suffix":""},{"dropping-particle":"","family":"Lloret","given":"Francisco","non-dropping-particle":"","parse-names":false,"suffix":""},{"dropping-particle":"","family":"Coll","given":"Lluís","non-dropping-particle":"","parse-names":false,"suffix":""}],"container-title":"Ecosystems","id":"ITEM-1","issue":"8","issued":{"date-parts":[["2019","12","1"]]},"note":"Boreale Nadelwälder zerstört durch Insekten;\nMessen der Resilienz und Resistenz anhand Waldstruktur und -komposition vor\nStörung, im zerstörten und im finalen Zustand; Boreale Nadelwälder kollabieren\nschnell in baumlosen Zustand bei starker, häufiger Störung und sich ändernden\nBedingungen; Schlüsselarten bieten Stabilität","page":"1886-1901","publisher":"Springer","title":"Resistance, Resilience or Change: Post-disturbance Dynamics of Boreal Forests After Insect Outbreaks","type":"article-journal","volume":"22"},"uris":["http://www.mendeley.com/documents/?uuid=29c12208-8d57-3c8c-83a0-b203ff613c80"]}],"mendeley":{"formattedCitation":"&lt;sup&gt;9&lt;/sup&gt;","plainTextFormattedCitation":"9","previouslyFormattedCitation":"&lt;sup&gt;9&lt;/sup&gt;"},"properties":{"noteIndex":0},"schema":"https://github.com/citation-style-language/schema/raw/master/csl-citation.json"}</w:instrText>
      </w:r>
      <w:r w:rsidR="00CE05F8">
        <w:rPr>
          <w:lang w:val="de-CH"/>
        </w:rPr>
        <w:fldChar w:fldCharType="separate"/>
      </w:r>
      <w:r w:rsidR="007E6221" w:rsidRPr="007E6221">
        <w:rPr>
          <w:noProof/>
          <w:vertAlign w:val="superscript"/>
          <w:lang w:val="de-CH"/>
        </w:rPr>
        <w:t>9</w:t>
      </w:r>
      <w:r w:rsidR="00CE05F8">
        <w:rPr>
          <w:lang w:val="de-CH"/>
        </w:rPr>
        <w:fldChar w:fldCharType="end"/>
      </w:r>
      <w:r w:rsidR="00CE05F8">
        <w:rPr>
          <w:vertAlign w:val="superscript"/>
          <w:lang w:val="de-CH"/>
        </w:rPr>
        <w:t>,</w:t>
      </w:r>
      <w:r w:rsidR="00EB3E0D">
        <w:rPr>
          <w:vertAlign w:val="superscript"/>
          <w:lang w:val="de-CH"/>
        </w:rPr>
        <w:fldChar w:fldCharType="begin" w:fldLock="1"/>
      </w:r>
      <w:r w:rsidR="00EB3E0D">
        <w:rPr>
          <w:vertAlign w:val="superscript"/>
          <w:lang w:val="de-CH"/>
        </w:rPr>
        <w:instrText>ADDIN CSL_CITATION {"citationItems":[{"id":"ITEM-1","itemData":{"DOI":"10.1111/1365-2745.12337","ISSN":"13652745","abstract":"Summary: Anthropogenic global change compromises forest resilience, with profound impacts to ecosystem functions and services. This synthesis paper reflects on the current understanding of forest resilience and potential tipping points under environmental change and explores challenges to assessing responses using experiments, observations and models. Forests are changing over a wide range of spatio-temporal scales, but it is often unclear whether these changes reduce resilience or represent a tipping point. Tipping points may arise from interactions across scales, as processes such as climate change, land-use change, invasive species or deforestation gradually erode resilience and increase vulnerability to extreme events. Studies covering interactions across different spatio-temporal scales are needed to further our understanding. Combinations of experiments, observations and process-based models could improve our ability to project forest resilience and tipping points under global change. We discuss uncertainties in changing CO2 concentration and quantifying tree mortality as examples. Synthesis.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 As forests change at various scales, it is increasingly important to understand whether and how such changes lead to reduced resilience and potential tipping points. Understanding the mechanisms underlying forest resilience and tipping points would help in assessing risks to ecosystems and presents opportunities for ecosystem restoration and sustainable forest management.","author":[{"dropping-particle":"","family":"Reyer","given":"Christopher P.O.","non-dropping-particle":"","parse-names":false,"suffix":""},{"dropping-particle":"","family":"Brouwers","given":"Niels","non-dropping-particle":"","parse-names":false,"suffix":""},{"dropping-particle":"","family":"Rammig","given":"Anja","non-dropping-particle":"","parse-names":false,"suffix":""},{"dropping-particle":"","family":"Brook","given":"Barry W.","non-dropping-particle":"","parse-names":false,"suffix":""},{"dropping-particle":"","family":"Epila","given":"Jackie","non-dropping-particle":"","parse-names":false,"suffix":""},{"dropping-particle":"","family":"Grant","given":"Robert F.","non-dropping-particle":"","parse-names":false,"suffix":""},{"dropping-particle":"","family":"Holmgren","given":"Milena","non-dropping-particle":"","parse-names":false,"suffix":""},{"dropping-particle":"","family":"Langerwisch","given":"Fanny","non-dropping-particle":"","parse-names":false,"suffix":""},{"dropping-particle":"","family":"Leuzinger","given":"Sebastian","non-dropping-particle":"","parse-names":false,"suffix":""},{"dropping-particle":"","family":"Lucht","given":"Wolfgang","non-dropping-particle":"","parse-names":false,"suffix":""},{"dropping-particle":"","family":"Medlyn","given":"Belinda","non-dropping-particle":"","parse-names":false,"suffix":""},{"dropping-particle":"","family":"Pfeifer","given":"Marion","non-dropping-particle":"","parse-names":false,"suffix":""},{"dropping-particle":"","family":"Steinkamp","given":"Jörg","non-dropping-particle":"","parse-names":false,"suffix":""},{"dropping-particle":"","family":"Vanderwel","given":"Mark C.","non-dropping-particle":"","parse-names":false,"suffix":""},{"dropping-particle":"","family":"Verbeeck","given":"Hans","non-dropping-particle":"","parse-names":false,"suffix":""},{"dropping-particle":"","family":"Villela","given":"Dora M.","non-dropping-particle":"","parse-names":false,"suffix":""}],"container-title":"Journal of Ecology","id":"ITEM-1","issue":"1","issued":{"date-parts":[["2015","1","1"]]},"page":"5-15","publisher":"Blackwell Publishing Ltd","title":"Forest resilience and tipping points at different spatio-temporal scales: Approaches and challenges","type":"article-journal","volume":"103"},"uris":["http://www.mendeley.com/documents/?uuid=19c97174-20ef-32f4-9a55-fd1d82d6fff2"]}],"mendeley":{"formattedCitation":"&lt;sup&gt;5&lt;/sup&gt;","plainTextFormattedCitation":"5","previouslyFormattedCitation":"&lt;sup&gt;5&lt;/sup&gt;"},"properties":{"noteIndex":0},"schema":"https://github.com/citation-style-language/schema/raw/master/csl-citation.json"}</w:instrText>
      </w:r>
      <w:r w:rsidR="00EB3E0D">
        <w:rPr>
          <w:vertAlign w:val="superscript"/>
          <w:lang w:val="de-CH"/>
        </w:rPr>
        <w:fldChar w:fldCharType="separate"/>
      </w:r>
      <w:r w:rsidR="00EB3E0D" w:rsidRPr="00EB3E0D">
        <w:rPr>
          <w:noProof/>
          <w:vertAlign w:val="superscript"/>
          <w:lang w:val="de-CH"/>
        </w:rPr>
        <w:t>5</w:t>
      </w:r>
      <w:r w:rsidR="00EB3E0D">
        <w:rPr>
          <w:vertAlign w:val="superscript"/>
          <w:lang w:val="de-CH"/>
        </w:rPr>
        <w:fldChar w:fldCharType="end"/>
      </w:r>
      <w:r>
        <w:rPr>
          <w:lang w:val="de-CH"/>
        </w:rPr>
        <w:t>. Die Wiederherstellung von Wäldern in ihren früheren Zustand dauert sehr lange und ist schwer vorhersehbar, doch prinzipiell erholen sich Wälder mit einer höheren Störungsrate schneller, als wenn sie nur selten gestört werden</w:t>
      </w:r>
      <w:r w:rsidR="00CE05F8">
        <w:rPr>
          <w:lang w:val="de-CH"/>
        </w:rPr>
        <w:fldChar w:fldCharType="begin" w:fldLock="1"/>
      </w:r>
      <w:r w:rsidR="00D337D8">
        <w:rPr>
          <w:lang w:val="de-CH"/>
        </w:rPr>
        <w:instrText>ADDIN CSL_CITATION {"citationItems":[{"id":"ITEM-1","itemData":{"DOI":"10.1038/ncomms4906","abstract":"The time taken for forested tropical ecosystems to re-establish post-disturbance is of widespread interest. Yet to date there has been no comparative study across tropical biomes to determine rates of forest re-growth, and how they vary through space and time. Here we present results from a meta-analysis of palaeoecological records that use fossil pollen as a proxy for vegetation change over the past 20,000 years. A total of 283 forest disturbance and recovery events, reported in 71 studies, are identified across four tropical regions. Results indicate that forests in Central America and Africa generally recover faster from past disturbances than those in South America and Asia, as do forests exposed to natural large infrequent disturbances compared with post-climatic and human impacts. Results also demonstrate that increasing frequency of disturbance events at a site through time elevates recovery rates, indicating a degree of resilience in forests exposed to recurrent past disturbance.","author":[{"dropping-particle":"","family":"Cole","given":"Lydia E S","non-dropping-particle":"","parse-names":false,"suffix":""},{"dropping-particle":"","family":"Bhagwat","given":"Shonil A","non-dropping-particle":"","parse-names":false,"suffix":""},{"dropping-particle":"","family":"Willis","given":"Katherine J","non-dropping-particle":"","parse-names":false,"suffix":""}],"container-title":"Nature Communications","id":"ITEM-1","issued":{"date-parts":[["2014"]]},"note":"Wiederherstellung\nder Wälder nach Störungen zu früherem Zustand dauert min. 20, oft über 200\nJahre; Sekundäre Wälder sind frühes Sukzessionsstadium und nicht weniger\nwertvoll als Primäre Wälder; Je grösser die Störungsrate, desto schneller die\nErholung; Erholung schneller nach natürlichen als menschlichen Störungen","title":"ARTICLE Recovery and resilience of tropical forests after disturbance","type":"article-journal"},"uris":["http://www.mendeley.com/documents/?uuid=dd315d05-132c-3f48-972d-49316f41bd5a"]}],"mendeley":{"formattedCitation":"&lt;sup&gt;7&lt;/sup&gt;","plainTextFormattedCitation":"7","previouslyFormattedCitation":"&lt;sup&gt;7&lt;/sup&gt;"},"properties":{"noteIndex":0},"schema":"https://github.com/citation-style-language/schema/raw/master/csl-citation.json"}</w:instrText>
      </w:r>
      <w:r w:rsidR="00CE05F8">
        <w:rPr>
          <w:lang w:val="de-CH"/>
        </w:rPr>
        <w:fldChar w:fldCharType="separate"/>
      </w:r>
      <w:r w:rsidR="007E6221" w:rsidRPr="007E6221">
        <w:rPr>
          <w:noProof/>
          <w:vertAlign w:val="superscript"/>
          <w:lang w:val="de-CH"/>
        </w:rPr>
        <w:t>7</w:t>
      </w:r>
      <w:r w:rsidR="00CE05F8">
        <w:rPr>
          <w:lang w:val="de-CH"/>
        </w:rPr>
        <w:fldChar w:fldCharType="end"/>
      </w:r>
      <w:r>
        <w:rPr>
          <w:lang w:val="de-CH"/>
        </w:rPr>
        <w:t>. Nach wenig starken Störungen erholen sich Wälder durch Neuausbreitung der Pflanzen, starke Störungen erfordern neue Setzlinge. In den Tropen ist natürliche Regeneration oft schneller als aktive Restoration</w:t>
      </w:r>
      <w:r w:rsidR="00CE05F8">
        <w:rPr>
          <w:lang w:val="de-CH"/>
        </w:rPr>
        <w:fldChar w:fldCharType="begin" w:fldLock="1"/>
      </w:r>
      <w:r w:rsidR="0090638A">
        <w:rPr>
          <w:lang w:val="de-CH"/>
        </w:rPr>
        <w:instrText>ADDIN CSL_CITATION {"citationItems":[{"id":"ITEM-1","itemData":{"DOI":"10.1111/rec.13117","ISSN":"1526100X","abstract":"Extreme disturbance events denote another aspect of global environmental changes archetypal of the Anthropocene. These events of climatic or anthropic origin are challenging our perceived understanding about how forests respond to disturbance. I present a general framework of tropical forest responses to extreme disturbance events with specific examples from tropical dry forests. The linkage between level of disturbance severity and dominant mechanism of vegetation recovery is reflected on a variety of initial trajectories of forest succession. Accordingly, more realistic and cost-effective restoration goals in many tropical forests likely consist in maintaining a mosaic of different successional trajectories while promoting landscape connectivity, rather than encouraging full-ecosystem recovery to pre-disturbance conditions. Incorporating extreme disturbance events into the global restoration ecology agenda will be essential to design well-informed ecosystem management strategies in the coming decades.","author":[{"dropping-particle":"","family":"Álvarez-Yépiz","given":"Juan C.","non-dropping-particle":"","parse-names":false,"suffix":""}],"container-title":"Restoration Ecology","id":"ITEM-1","issue":"2","issued":{"date-parts":[["2020","3","5"]]},"note":"Erholung der Vegetation durch neue Setzlinge\nnach starken Störungen; Nach weniger starker Störung Regeneration durch\nNeuausbreitung der beschädigten Pflanzen; Natürliche Restoration effektiver in\nTropen als aktive Restoration; Alternative Sukzessionsstadien erhöhen\nDiversität von Ökosystem-Dienstleistungen","page":"271-276","publisher":"Blackwell Publishing Inc.","title":"Restoration ecology in the Anthropocene: learning from responses of tropical forests to extreme disturbance events","type":"article-journal","volume":"28"},"uris":["http://www.mendeley.com/documents/?uuid=04837d1d-f6b4-3e3a-9029-daf0307428f5"]}],"mendeley":{"formattedCitation":"&lt;sup&gt;21&lt;/sup&gt;","plainTextFormattedCitation":"21","previouslyFormattedCitation":"&lt;sup&gt;21&lt;/sup&gt;"},"properties":{"noteIndex":0},"schema":"https://github.com/citation-style-language/schema/raw/master/csl-citation.json"}</w:instrText>
      </w:r>
      <w:r w:rsidR="00CE05F8">
        <w:rPr>
          <w:lang w:val="de-CH"/>
        </w:rPr>
        <w:fldChar w:fldCharType="separate"/>
      </w:r>
      <w:r w:rsidR="0090638A" w:rsidRPr="0090638A">
        <w:rPr>
          <w:noProof/>
          <w:vertAlign w:val="superscript"/>
          <w:lang w:val="de-CH"/>
        </w:rPr>
        <w:t>21</w:t>
      </w:r>
      <w:r w:rsidR="00CE05F8">
        <w:rPr>
          <w:lang w:val="de-CH"/>
        </w:rPr>
        <w:fldChar w:fldCharType="end"/>
      </w:r>
      <w:r w:rsidRPr="00572A19">
        <w:t>.</w:t>
      </w:r>
    </w:p>
    <w:p w14:paraId="15F0ABA8" w14:textId="090650DC" w:rsidR="00AD5C0D" w:rsidRPr="00B86A16" w:rsidRDefault="00AD5C0D" w:rsidP="00AD5C0D">
      <w:pPr>
        <w:pStyle w:val="berschrift3"/>
        <w:rPr>
          <w:lang w:val="en-US"/>
        </w:rPr>
      </w:pPr>
      <w:r w:rsidRPr="00B86A16">
        <w:rPr>
          <w:lang w:val="en-US"/>
        </w:rPr>
        <w:t>If the trees burn, is the forest lost? Past dynamics in temperate forests help inform management strategies</w:t>
      </w:r>
      <w:r w:rsidR="00C01E64">
        <w:rPr>
          <w:lang w:val="en-US"/>
        </w:rPr>
        <w:fldChar w:fldCharType="begin" w:fldLock="1"/>
      </w:r>
      <w:r w:rsidR="00EB3E0D">
        <w:rPr>
          <w:lang w:val="en-US"/>
        </w:rPr>
        <w:instrText>ADDIN CSL_CITATION {"citationItems":[{"id":"ITEM-1","itemData":{"DOI":"10.1098/rstb.2019.0115","ISSN":"14712970","abstract":"Forest dynamics are driven by top-down changes in climate and bottom-up positive (destabilizing) and negative (stabilizing) biophysical feedbacks involving disturbance and biotic interactions. When positive feedbacks prevail, the resulting self-propagating changes can potentially shift the system into a new state, even in the absence of climate change. Conversely, negative feedbacks help maintain a dynamic equilibrium that allows communities to recover their pre-disturbance characteristics. We examine palaeoenvironmental records from temperate forests to assess the nature of long-term stability and regime shifts under a broader range of environmental forcings than can be observed at present. Forest histories from northwestern USA, Patagonia, Tasmania and New Zealand show long-term trajectories that were governed by (i) the biophysical template, (ii) characteristics of climate and disturbance, (iii) historical legacies that condition the ecological capacity to respond to subsequent disturbances, and (iv) thresholds that act as irreversible barriers. Attention only to current forest conditions overlooks the significance of history in creating path dependency, the importance of individual extreme events, and the inherent feedbacks that force an ecosystem into reorganization. A long-time perspective on ecological resilience helps guide conservation strategies that focus on environmental preservation as well as identify vulnerable species and ecosystems to future climate change.","author":[{"dropping-particle":"","family":"Iglesias","given":"Virginia","non-dropping-particle":"","parse-names":false,"suffix":""},{"dropping-particle":"","family":"Whitlock","given":"Cathy","non-dropping-particle":"","parse-names":false,"suffix":""}],"container-title":"Philosophical Transactions of the Royal Society B: Biological Sciences","id":"ITEM-1","issue":"1794","issued":{"date-parts":[["2020"]]},"note":"Wälder als komplexe, dynamische Systeme;\nResiliente Ökosysteme bleiben im Gleichgewicht, fallen nicht in neuen Zustand\nnach Störung; Resilienz variiert mit der Waldkomposition; Aktueller Wandel und\nStörungen sind stärker als je zuvor, Reaktion der Wälder schwer vorhersehbar\nmit alten Daten","title":"If the trees burn, is the forest lost? Past dynamics in temperate forests help inform management strategies","type":"article-journal","volume":"375"},"uris":["http://www.mendeley.com/documents/?uuid=24278b6b-1117-3ed4-9820-f1ac884e6983"]}],"mendeley":{"formattedCitation":"&lt;sup&gt;13&lt;/sup&gt;","plainTextFormattedCitation":"13","previouslyFormattedCitation":"&lt;sup&gt;13&lt;/sup&gt;"},"properties":{"noteIndex":0},"schema":"https://github.com/citation-style-language/schema/raw/master/csl-citation.json"}</w:instrText>
      </w:r>
      <w:r w:rsidR="00C01E64">
        <w:rPr>
          <w:lang w:val="en-US"/>
        </w:rPr>
        <w:fldChar w:fldCharType="separate"/>
      </w:r>
      <w:r w:rsidR="00EB3E0D" w:rsidRPr="00EB3E0D">
        <w:rPr>
          <w:noProof/>
          <w:vertAlign w:val="superscript"/>
          <w:lang w:val="en-US"/>
        </w:rPr>
        <w:t>13</w:t>
      </w:r>
      <w:r w:rsidR="00C01E64">
        <w:rPr>
          <w:lang w:val="en-US"/>
        </w:rPr>
        <w:fldChar w:fldCharType="end"/>
      </w:r>
    </w:p>
    <w:p w14:paraId="4CF601C1" w14:textId="77777777" w:rsidR="00AD5C0D" w:rsidRPr="003A29AF" w:rsidRDefault="00AD5C0D" w:rsidP="0042406D">
      <w:pPr>
        <w:jc w:val="both"/>
        <w:rPr>
          <w:lang w:val="de-CH"/>
        </w:rPr>
      </w:pPr>
      <w:r w:rsidRPr="005562D9">
        <w:rPr>
          <w:lang w:val="de-CH"/>
        </w:rPr>
        <w:t>Wälder als komplexe, dynamische S</w:t>
      </w:r>
      <w:r>
        <w:rPr>
          <w:lang w:val="de-CH"/>
        </w:rPr>
        <w:t>ysteme; Resiliente Ökosysteme bleiben im Gleichgewicht, fallen nicht in neuen Zustand nach Störung; Resilienz variiert mit der Waldkomposition; Aktueller Wandel und Störungen sind stärker als je zuvor, Reaktion der Wälder schwer vorhersehbar mit alten Daten</w:t>
      </w:r>
    </w:p>
    <w:p w14:paraId="14AE2C06" w14:textId="0730C9E2" w:rsidR="00AD5C0D" w:rsidRPr="00B86A16" w:rsidRDefault="00AD5C0D" w:rsidP="00AD5C0D">
      <w:pPr>
        <w:pStyle w:val="berschrift3"/>
        <w:rPr>
          <w:lang w:val="en-US"/>
        </w:rPr>
      </w:pPr>
      <w:r w:rsidRPr="00B86A16">
        <w:rPr>
          <w:lang w:val="en-US"/>
        </w:rPr>
        <w:t>Resistance, Resilience or Change: Post-disturbance Dynamics of Boreal Forests After Insect Outbreaks</w:t>
      </w:r>
      <w:r w:rsidR="00C01E64">
        <w:rPr>
          <w:lang w:val="en-US"/>
        </w:rPr>
        <w:fldChar w:fldCharType="begin" w:fldLock="1"/>
      </w:r>
      <w:r w:rsidR="00C01E64">
        <w:rPr>
          <w:lang w:val="en-US"/>
        </w:rPr>
        <w:instrText>ADDIN CSL_CITATION {"citationItems":[{"id":"ITEM-1","itemData":{"DOI":"10.1007/s10021-019-00378-6","ISSN":"14350629","abstract":"Understanding and measuring forest resistance and resilience have emerged as key priorities in ecology and management, particularly to maintain forest functioning. The analysis of the factors involved in a forest’s ability to cope with disturbances is key in identifying forest vulnerability to environmental change. In this study, we apply a procedure based on combining pathway analyses of forest composition and structure with quantitative indices of resistance and resilience to disturbances. We applied our approach to boreal forests affected by a major spruce budworm outbreak in the province of Quebec (Canada). We aimed to identify the main patterns of forest dynamics and the environmental factors affecting these responses. To achieve this goal, we developed quantitative metrics of resistance and resilience. We then compared forests with different pre-disturbance conditions and explored the factors influencing their recovery following disturbance. We found that post-outbreak forest dynamics are determined by distinct resistance and resilience patterns according to dominant species and stand composition and structure. Black spruce forests are highly resistant to spruce budworm outbreaks, but this resistance is conditioned by the length of the defoliation period, with long outbreaks having the potential to lead the system to collapse. In contrast, balsam fir forests easily change to a different composition after outbreaks but are highly resilient when mixed with hardwood species. Overall, the severity of the disturbance and the tree species affected are the main drivers contributing to boreal forest resistance and resilience. Our procedure is valuable to understand post-disturbance dynamics of a broad range of communities and to guide management strategies focused on enhancing the resistance and resilience of the system.","author":[{"dropping-particle":"","family":"Sánchez-Pinillos","given":"Martina","non-dropping-particle":"","parse-names":false,"suffix":""},{"dropping-particle":"","family":"Leduc","given":"Alain","non-dropping-particle":"","parse-names":false,"suffix":""},{"dropping-particle":"","family":"Ameztegui","given":"Aitor","non-dropping-particle":"","parse-names":false,"suffix":""},{"dropping-particle":"","family":"Kneeshaw","given":"Daniel","non-dropping-particle":"","parse-names":false,"suffix":""},{"dropping-particle":"","family":"Lloret","given":"Francisco","non-dropping-particle":"","parse-names":false,"suffix":""},{"dropping-particle":"","family":"Coll","given":"Lluís","non-dropping-particle":"","parse-names":false,"suffix":""}],"container-title":"Ecosystems","id":"ITEM-1","issue":"8","issued":{"date-parts":[["2019","12","1"]]},"note":"Boreale Nadelwälder zerstört durch Insekten;\nMessen der Resilienz und Resistenz anhand Waldstruktur und -komposition vor\nStörung, im zerstörten und im finalen Zustand; Boreale Nadelwälder kollabieren\nschnell in baumlosen Zustand bei starker, häufiger Störung und sich ändernden\nBedingungen; Schlüsselarten bieten Stabilität","page":"1886-1901","publisher":"Springer","title":"Resistance, Resilience or Change: Post-disturbance Dynamics of Boreal Forests After Insect Outbreaks","type":"article-journal","volume":"22"},"uris":["http://www.mendeley.com/documents/?uuid=29c12208-8d57-3c8c-83a0-b203ff613c80"]}],"mendeley":{"formattedCitation":"&lt;sup&gt;9&lt;/sup&gt;","plainTextFormattedCitation":"9","previouslyFormattedCitation":"&lt;sup&gt;9&lt;/sup&gt;"},"properties":{"noteIndex":0},"schema":"https://github.com/citation-style-language/schema/raw/master/csl-citation.json"}</w:instrText>
      </w:r>
      <w:r w:rsidR="00C01E64">
        <w:rPr>
          <w:lang w:val="en-US"/>
        </w:rPr>
        <w:fldChar w:fldCharType="separate"/>
      </w:r>
      <w:r w:rsidR="00C01E64" w:rsidRPr="00C01E64">
        <w:rPr>
          <w:noProof/>
          <w:vertAlign w:val="superscript"/>
          <w:lang w:val="en-US"/>
        </w:rPr>
        <w:t>9</w:t>
      </w:r>
      <w:r w:rsidR="00C01E64">
        <w:rPr>
          <w:lang w:val="en-US"/>
        </w:rPr>
        <w:fldChar w:fldCharType="end"/>
      </w:r>
    </w:p>
    <w:p w14:paraId="78DB8CA9" w14:textId="77777777" w:rsidR="00AD5C0D" w:rsidRDefault="00AD5C0D" w:rsidP="0042406D">
      <w:pPr>
        <w:jc w:val="both"/>
        <w:rPr>
          <w:lang w:val="de-CH"/>
        </w:rPr>
      </w:pPr>
      <w:r w:rsidRPr="009E6CEB">
        <w:rPr>
          <w:lang w:val="de-CH"/>
        </w:rPr>
        <w:t xml:space="preserve">Boreale Nadelwälder zerstört durch Insekten; Messen der Resilienz und Resistenz </w:t>
      </w:r>
      <w:r>
        <w:rPr>
          <w:lang w:val="de-CH"/>
        </w:rPr>
        <w:t xml:space="preserve">anhand Waldstruktur und -komposition vor Störung, im zerstörten und im finalen Zustand; Boreale Nadelwälder kollabieren schnell in baumlosen Zustand bei starker, häufiger Störung und sich ändernden Bedingungen; </w:t>
      </w:r>
      <w:r w:rsidRPr="009E6CEB">
        <w:rPr>
          <w:lang w:val="de-CH"/>
        </w:rPr>
        <w:t>Schlüsselarten bieten Stabilität</w:t>
      </w:r>
    </w:p>
    <w:p w14:paraId="19B02F3A" w14:textId="56887B66" w:rsidR="00AD5C0D" w:rsidRPr="00B86A16" w:rsidRDefault="00AD5C0D" w:rsidP="00AD5C0D">
      <w:pPr>
        <w:pStyle w:val="berschrift3"/>
        <w:rPr>
          <w:lang w:val="en-US"/>
        </w:rPr>
      </w:pPr>
      <w:r w:rsidRPr="00B86A16">
        <w:rPr>
          <w:lang w:val="en-US"/>
        </w:rPr>
        <w:t>Forest resilience, tipping points and global change processes</w:t>
      </w:r>
      <w:r w:rsidR="00C01E64">
        <w:rPr>
          <w:lang w:val="en-US"/>
        </w:rPr>
        <w:fldChar w:fldCharType="begin" w:fldLock="1"/>
      </w:r>
      <w:r w:rsidR="0090638A">
        <w:rPr>
          <w:lang w:val="en-US"/>
        </w:rPr>
        <w:instrText>ADDIN CSL_CITATION {"citationItems":[{"id":"ITEM-1","itemData":{"DOI":"10.1111/1365-2745.12342","ISSN":"00220477","abstract":"Summary: Forests around the world are changing as a result of human activity. These changes have substantial impacts on the resilience of forests, possibly pushing them towards tipping points. The objective of this Special Feature is to present research that fosters the understanding of forest resilience and potential tipping points under global change. This editorial summarizes the key findings of the seven papers in this Special Feature and puts them in the wider context of resilience thinking. Synthesis. The contributions to this Special Feature show that resilience is a useful concept to understand ecosystem change but that we have to develop a better understanding of the mechanisms and feedback loops involved in forest resilience and potential tipping points. Finally, this Special Feature presents evidence about how resilience thinking is used to better understand and manage degraded forests. Journal of Ecology","author":[{"dropping-particle":"","family":"Reyer","given":"Christopher P.O.","non-dropping-particle":"","parse-names":false,"suffix":""},{"dropping-particle":"","family":"Rammig","given":"Anja","non-dropping-particle":"","parse-names":false,"suffix":""},{"dropping-particle":"","family":"Brouwers","given":"Niels","non-dropping-particle":"","parse-names":false,"suffix":""},{"dropping-particle":"","family":"Langerwisch","given":"Fanny","non-dropping-particle":"","parse-names":false,"suffix":""}],"container-title":"Journal of Ecology","editor":[{"dropping-particle":"","family":"Gibson","given":"David","non-dropping-particle":"","parse-names":false,"suffix":""}],"id":"ITEM-1","issue":"1","issued":{"date-parts":[["2015","1","1"]]},"note":"Lange Zeitskalen sind nötig, um Resilienz der\nWälder zu verstehen; Verjüngung und Baumsterblichkeit sind wichtige Resilienzfaktoren;\nHohe Managementintensität verlangsamt Erholung, schnell Wachsende Arten können\nResilienz erhalten; Alternative Zustände der Wälder sind ebenso wichtig zu\nverstehen","page":"1-4","publisher":"Blackwell Publishing Ltd","title":"Forest resilience, tipping points and global change processes","type":"article-journal","volume":"103"},"uris":["http://www.mendeley.com/documents/?uuid=0826a8e5-64e1-35b7-b8cf-fbc0539fcf4a"]}],"mendeley":{"formattedCitation":"&lt;sup&gt;22&lt;/sup&gt;","plainTextFormattedCitation":"22","previouslyFormattedCitation":"&lt;sup&gt;22&lt;/sup&gt;"},"properties":{"noteIndex":0},"schema":"https://github.com/citation-style-language/schema/raw/master/csl-citation.json"}</w:instrText>
      </w:r>
      <w:r w:rsidR="00C01E64">
        <w:rPr>
          <w:lang w:val="en-US"/>
        </w:rPr>
        <w:fldChar w:fldCharType="separate"/>
      </w:r>
      <w:r w:rsidR="0090638A" w:rsidRPr="0090638A">
        <w:rPr>
          <w:noProof/>
          <w:vertAlign w:val="superscript"/>
          <w:lang w:val="en-US"/>
        </w:rPr>
        <w:t>22</w:t>
      </w:r>
      <w:r w:rsidR="00C01E64">
        <w:rPr>
          <w:lang w:val="en-US"/>
        </w:rPr>
        <w:fldChar w:fldCharType="end"/>
      </w:r>
    </w:p>
    <w:p w14:paraId="1710730E" w14:textId="77777777" w:rsidR="00AD5C0D" w:rsidRDefault="00AD5C0D" w:rsidP="0042406D">
      <w:pPr>
        <w:jc w:val="both"/>
        <w:rPr>
          <w:lang w:val="de-CH"/>
        </w:rPr>
      </w:pPr>
      <w:r>
        <w:rPr>
          <w:lang w:val="de-CH"/>
        </w:rPr>
        <w:t xml:space="preserve">Lange Zeitskalen sind nötig, um Resilienz der Wälder zu verstehen; </w:t>
      </w:r>
      <w:r w:rsidRPr="00AF6B76">
        <w:rPr>
          <w:lang w:val="de-CH"/>
        </w:rPr>
        <w:t xml:space="preserve">Verjüngung </w:t>
      </w:r>
      <w:r>
        <w:rPr>
          <w:lang w:val="de-CH"/>
        </w:rPr>
        <w:t>und Baumsterblichkeit sind wichtige Resilienzfaktoren; Hohe Managementintensität verlangsamt Erholung, schnell Wachsende Arten können Resilienz erhalten; Alternative Zustände der Wälder sind ebenso wichtig zu verstehen</w:t>
      </w:r>
    </w:p>
    <w:p w14:paraId="6D1A8F4A" w14:textId="6CCDC6F8" w:rsidR="00AD5C0D" w:rsidRPr="00B86A16" w:rsidRDefault="00AD5C0D" w:rsidP="0042406D">
      <w:pPr>
        <w:pStyle w:val="berschrift3"/>
        <w:rPr>
          <w:lang w:val="en-US"/>
        </w:rPr>
      </w:pPr>
      <w:r w:rsidRPr="00B86A16">
        <w:rPr>
          <w:lang w:val="en-US"/>
        </w:rPr>
        <w:t>Recovery and resilience of tropical forests after disturbance</w:t>
      </w:r>
      <w:r w:rsidR="00C01E64">
        <w:rPr>
          <w:lang w:val="en-US"/>
        </w:rPr>
        <w:fldChar w:fldCharType="begin" w:fldLock="1"/>
      </w:r>
      <w:r w:rsidR="00C01E64">
        <w:rPr>
          <w:lang w:val="en-US"/>
        </w:rPr>
        <w:instrText>ADDIN CSL_CITATION {"citationItems":[{"id":"ITEM-1","itemData":{"DOI":"10.1038/ncomms4906","abstract":"The time taken for forested tropical ecosystems to re-establish post-disturbance is of widespread interest. Yet to date there has been no comparative study across tropical biomes to determine rates of forest re-growth, and how they vary through space and time. Here we present results from a meta-analysis of palaeoecological records that use fossil pollen as a proxy for vegetation change over the past 20,000 years. A total of 283 forest disturbance and recovery events, reported in 71 studies, are identified across four tropical regions. Results indicate that forests in Central America and Africa generally recover faster from past disturbances than those in South America and Asia, as do forests exposed to natural large infrequent disturbances compared with post-climatic and human impacts. Results also demonstrate that increasing frequency of disturbance events at a site through time elevates recovery rates, indicating a degree of resilience in forests exposed to recurrent past disturbance.","author":[{"dropping-particle":"","family":"Cole","given":"Lydia E S","non-dropping-particle":"","parse-names":false,"suffix":""},{"dropping-particle":"","family":"Bhagwat","given":"Shonil A","non-dropping-particle":"","parse-names":false,"suffix":""},{"dropping-particle":"","family":"Willis","given":"Katherine J","non-dropping-particle":"","parse-names":false,"suffix":""}],"container-title":"Nature Communications","id":"ITEM-1","issued":{"date-parts":[["2014"]]},"note":"Wiederherstellung\nder Wälder nach Störungen zu früherem Zustand dauert min. 20, oft über 200\nJahre; Sekundäre Wälder sind frühes Sukzessionsstadium und nicht weniger\nwertvoll als Primäre Wälder; Je grösser die Störungsrate, desto schneller die\nErholung; Erholung schneller nach natürlichen als menschlichen Störungen","title":"ARTICLE Recovery and resilience of tropical forests after disturbance","type":"article-journal"},"uris":["http://www.mendeley.com/documents/?uuid=dd315d05-132c-3f48-972d-49316f41bd5a"]}],"mendeley":{"formattedCitation":"&lt;sup&gt;7&lt;/sup&gt;","plainTextFormattedCitation":"7","previouslyFormattedCitation":"&lt;sup&gt;7&lt;/sup&gt;"},"properties":{"noteIndex":0},"schema":"https://github.com/citation-style-language/schema/raw/master/csl-citation.json"}</w:instrText>
      </w:r>
      <w:r w:rsidR="00C01E64">
        <w:rPr>
          <w:lang w:val="en-US"/>
        </w:rPr>
        <w:fldChar w:fldCharType="separate"/>
      </w:r>
      <w:r w:rsidR="00C01E64" w:rsidRPr="00C01E64">
        <w:rPr>
          <w:noProof/>
          <w:vertAlign w:val="superscript"/>
          <w:lang w:val="en-US"/>
        </w:rPr>
        <w:t>7</w:t>
      </w:r>
      <w:r w:rsidR="00C01E64">
        <w:rPr>
          <w:lang w:val="en-US"/>
        </w:rPr>
        <w:fldChar w:fldCharType="end"/>
      </w:r>
    </w:p>
    <w:p w14:paraId="2EF7F45B" w14:textId="77777777" w:rsidR="00AD5C0D" w:rsidRPr="003A29AF" w:rsidRDefault="00AD5C0D" w:rsidP="0042406D">
      <w:pPr>
        <w:jc w:val="both"/>
        <w:rPr>
          <w:lang w:val="de-CH"/>
        </w:rPr>
      </w:pPr>
      <w:r>
        <w:rPr>
          <w:lang w:val="de-CH"/>
        </w:rPr>
        <w:t>Wiederherstellung der Wälder nach Störungen zu früherem Zustand dauert min. 20, oft über 200 Jahre; Sekundäre Wälder sind frühes Sukzessionsstadium und nicht weniger wertvoll als Primäre Wälder; Je grösser die Störungsrate, desto schneller die Erholung; Erholung schneller nach natürlichen als menschlichen Störungen</w:t>
      </w:r>
    </w:p>
    <w:p w14:paraId="7966253E" w14:textId="43CE9DAC" w:rsidR="00AD5C0D" w:rsidRPr="003A29AF" w:rsidRDefault="00AD5C0D" w:rsidP="0042406D">
      <w:pPr>
        <w:spacing w:after="0"/>
      </w:pPr>
      <w:r w:rsidRPr="00572A19">
        <w:rPr>
          <w:rFonts w:asciiTheme="majorHAnsi" w:eastAsiaTheme="majorEastAsia" w:hAnsiTheme="majorHAnsi" w:cstheme="majorBidi"/>
          <w:color w:val="1F4D78" w:themeColor="accent1" w:themeShade="7F"/>
          <w:sz w:val="24"/>
          <w:szCs w:val="24"/>
        </w:rPr>
        <w:t>Restoration ecology in the Anthropocene: learning from responses of tropical forests to extreme disturbance events</w:t>
      </w:r>
      <w:r w:rsidR="00C01E64">
        <w:rPr>
          <w:rFonts w:asciiTheme="majorHAnsi" w:eastAsiaTheme="majorEastAsia" w:hAnsiTheme="majorHAnsi" w:cstheme="majorBidi"/>
          <w:color w:val="1F4D78" w:themeColor="accent1" w:themeShade="7F"/>
          <w:sz w:val="24"/>
          <w:szCs w:val="24"/>
        </w:rPr>
        <w:fldChar w:fldCharType="begin" w:fldLock="1"/>
      </w:r>
      <w:r w:rsidR="0090638A">
        <w:rPr>
          <w:rFonts w:asciiTheme="majorHAnsi" w:eastAsiaTheme="majorEastAsia" w:hAnsiTheme="majorHAnsi" w:cstheme="majorBidi"/>
          <w:color w:val="1F4D78" w:themeColor="accent1" w:themeShade="7F"/>
          <w:sz w:val="24"/>
          <w:szCs w:val="24"/>
        </w:rPr>
        <w:instrText>ADDIN CSL_CITATION {"citationItems":[{"id":"ITEM-1","itemData":{"DOI":"10.1111/rec.13117","ISSN":"1526100X","abstract":"Extreme disturbance events denote another aspect of global environmental changes archetypal of the Anthropocene. These events of climatic or anthropic origin are challenging our perceived understanding about how forests respond to disturbance. I present a general framework of tropical forest responses to extreme disturbance events with specific examples from tropical dry forests. The linkage between level of disturbance severity and dominant mechanism of vegetation recovery is reflected on a variety of initial trajectories of forest succession. Accordingly, more realistic and cost-effective restoration goals in many tropical forests likely consist in maintaining a mosaic of different successional trajectories while promoting landscape connectivity, rather than encouraging full-ecosystem recovery to pre-disturbance conditions. Incorporating extreme disturbance events into the global restoration ecology agenda will be essential to design well-informed ecosystem management strategies in the coming decades.","author":[{"dropping-particle":"","family":"Álvarez-Yépiz","given":"Juan C.","non-dropping-particle":"","parse-names":false,"suffix":""}],"container-title":"Restoration Ecology","id":"ITEM-1","issue":"2","issued":{"date-parts":[["2020","3","5"]]},"note":"Erholung der Vegetation durch neue Setzlinge\nnach starken Störungen; Nach weniger starker Störung Regeneration durch\nNeuausbreitung der beschädigten Pflanzen; Natürliche Restoration effektiver in\nTropen als aktive Restoration; Alternative Sukzessionsstadien erhöhen\nDiversität von Ökosystem-Dienstleistungen","page":"271-276","publisher":"Blackwell Publishing Inc.","title":"Restoration ecology in the Anthropocene: learning from responses of tropical forests to extreme disturbance events","type":"article-journal","volume":"28"},"uris":["http://www.mendeley.com/documents/?uuid=04837d1d-f6b4-3e3a-9029-daf0307428f5"]}],"mendeley":{"formattedCitation":"&lt;sup&gt;21&lt;/sup&gt;","plainTextFormattedCitation":"21","previouslyFormattedCitation":"&lt;sup&gt;21&lt;/sup&gt;"},"properties":{"noteIndex":0},"schema":"https://github.com/citation-style-language/schema/raw/master/csl-citation.json"}</w:instrText>
      </w:r>
      <w:r w:rsidR="00C01E64">
        <w:rPr>
          <w:rFonts w:asciiTheme="majorHAnsi" w:eastAsiaTheme="majorEastAsia" w:hAnsiTheme="majorHAnsi" w:cstheme="majorBidi"/>
          <w:color w:val="1F4D78" w:themeColor="accent1" w:themeShade="7F"/>
          <w:sz w:val="24"/>
          <w:szCs w:val="24"/>
        </w:rPr>
        <w:fldChar w:fldCharType="separate"/>
      </w:r>
      <w:r w:rsidR="0090638A" w:rsidRPr="0090638A">
        <w:rPr>
          <w:rFonts w:asciiTheme="majorHAnsi" w:eastAsiaTheme="majorEastAsia" w:hAnsiTheme="majorHAnsi" w:cstheme="majorBidi"/>
          <w:noProof/>
          <w:color w:val="1F4D78" w:themeColor="accent1" w:themeShade="7F"/>
          <w:sz w:val="24"/>
          <w:szCs w:val="24"/>
          <w:vertAlign w:val="superscript"/>
        </w:rPr>
        <w:t>21</w:t>
      </w:r>
      <w:r w:rsidR="00C01E64">
        <w:rPr>
          <w:rFonts w:asciiTheme="majorHAnsi" w:eastAsiaTheme="majorEastAsia" w:hAnsiTheme="majorHAnsi" w:cstheme="majorBidi"/>
          <w:color w:val="1F4D78" w:themeColor="accent1" w:themeShade="7F"/>
          <w:sz w:val="24"/>
          <w:szCs w:val="24"/>
        </w:rPr>
        <w:fldChar w:fldCharType="end"/>
      </w:r>
    </w:p>
    <w:p w14:paraId="5EAFA1B9" w14:textId="77777777" w:rsidR="00AD5C0D" w:rsidRPr="003A29AF" w:rsidRDefault="00AD5C0D" w:rsidP="0099220F">
      <w:pPr>
        <w:jc w:val="both"/>
        <w:rPr>
          <w:lang w:val="de-CH"/>
        </w:rPr>
      </w:pPr>
      <w:r w:rsidRPr="003A29AF">
        <w:rPr>
          <w:lang w:val="de-CH"/>
        </w:rPr>
        <w:t>Erholung der Vegetation durch neue Setzlinge nach starken Störungen; Nach weniger starker Störung Regeneration durch Neuausbreitung der beschädigten Pflanzen; Natürliche Restoration effektiver in Tropen als aktive Restoration; Alternative Sukzessionsstadien erhöhen Diversität von Ökosystem-Dienstleistungen</w:t>
      </w:r>
    </w:p>
    <w:p w14:paraId="04B3488F" w14:textId="307415F2" w:rsidR="00AD5C0D" w:rsidRDefault="00AD5C0D" w:rsidP="00031D9B">
      <w:pPr>
        <w:widowControl w:val="0"/>
        <w:autoSpaceDE w:val="0"/>
        <w:autoSpaceDN w:val="0"/>
        <w:adjustRightInd w:val="0"/>
        <w:spacing w:line="240" w:lineRule="auto"/>
        <w:ind w:left="640" w:hanging="640"/>
        <w:rPr>
          <w:lang w:val="de-CH"/>
        </w:rPr>
      </w:pPr>
    </w:p>
    <w:p w14:paraId="73608996" w14:textId="77777777" w:rsidR="00C01E64" w:rsidRDefault="00C01E64" w:rsidP="0034696F">
      <w:pPr>
        <w:rPr>
          <w:rStyle w:val="berschrift1Zchn"/>
          <w:lang w:val="de-CH"/>
        </w:rPr>
      </w:pPr>
    </w:p>
    <w:p w14:paraId="598B471C" w14:textId="77777777" w:rsidR="00C01E64" w:rsidRDefault="00C01E64" w:rsidP="0034696F">
      <w:pPr>
        <w:rPr>
          <w:rStyle w:val="berschrift1Zchn"/>
          <w:lang w:val="de-CH"/>
        </w:rPr>
      </w:pPr>
    </w:p>
    <w:p w14:paraId="6CF34587" w14:textId="1CE7BB6B" w:rsidR="00B34357" w:rsidRPr="0034696F" w:rsidRDefault="00B34357" w:rsidP="0034696F">
      <w:pPr>
        <w:rPr>
          <w:rFonts w:asciiTheme="majorHAnsi" w:eastAsiaTheme="majorEastAsia" w:hAnsiTheme="majorHAnsi" w:cstheme="majorBidi"/>
          <w:color w:val="2E74B5" w:themeColor="accent1" w:themeShade="BF"/>
          <w:sz w:val="32"/>
          <w:szCs w:val="32"/>
          <w:lang w:val="de-CH"/>
        </w:rPr>
      </w:pPr>
      <w:r w:rsidRPr="00B86A16">
        <w:rPr>
          <w:rStyle w:val="berschrift1Zchn"/>
          <w:lang w:val="de-CH"/>
        </w:rPr>
        <w:t xml:space="preserve">Rechercheaspekt B: </w:t>
      </w:r>
      <w:r w:rsidRPr="00B86A16">
        <w:rPr>
          <w:rFonts w:asciiTheme="majorHAnsi" w:hAnsiTheme="majorHAnsi" w:cs="Arial"/>
          <w:color w:val="2E74B5"/>
          <w:sz w:val="32"/>
          <w:szCs w:val="32"/>
          <w:lang w:val="de-CH"/>
        </w:rPr>
        <w:t>Politische Massnahmen: Reaktion &amp; Prävention</w:t>
      </w:r>
    </w:p>
    <w:p w14:paraId="4BBF32FE" w14:textId="77777777" w:rsidR="00D46D76" w:rsidRPr="00D230CC" w:rsidRDefault="00B34357" w:rsidP="00B34357">
      <w:pPr>
        <w:rPr>
          <w:rStyle w:val="Hervorhebung"/>
        </w:rPr>
      </w:pPr>
      <w:r>
        <w:rPr>
          <w:rStyle w:val="Hervorhebung"/>
        </w:rPr>
        <w:t>Stella Harper</w:t>
      </w:r>
    </w:p>
    <w:p w14:paraId="01142A4C" w14:textId="58EA35A6" w:rsidR="00D46D76" w:rsidRDefault="00D46D76" w:rsidP="00D46D76">
      <w:pPr>
        <w:pStyle w:val="berschrift2"/>
        <w:rPr>
          <w:sz w:val="22"/>
          <w:lang w:val="de-CH"/>
        </w:rPr>
      </w:pPr>
      <w:r>
        <w:rPr>
          <w:lang w:val="de-CH"/>
        </w:rPr>
        <w:t xml:space="preserve">Kurzzusammenfassung </w:t>
      </w:r>
    </w:p>
    <w:p w14:paraId="5C73A2CF" w14:textId="33ADC623" w:rsidR="0099220F" w:rsidRPr="0099220F" w:rsidRDefault="0099220F" w:rsidP="00EE2FCC">
      <w:pPr>
        <w:jc w:val="both"/>
        <w:rPr>
          <w:rFonts w:eastAsia="Times New Roman" w:cs="Times New Roman"/>
          <w:sz w:val="20"/>
          <w:szCs w:val="20"/>
          <w:lang w:val="de-CH"/>
        </w:rPr>
      </w:pPr>
      <w:r w:rsidRPr="0099220F">
        <w:rPr>
          <w:rFonts w:eastAsia="Times New Roman" w:cs="Arial"/>
          <w:color w:val="000000"/>
          <w:lang w:val="de-CH"/>
        </w:rPr>
        <w:t>Die politische Lage muss auf lokaler sowie internationaler Ebene differenziert werden. Das Kyoto Protokoll ist ein Beispiel eines internationalen Abkommens, welches durch Anreize zur Wiederaufforstung von Wäldern führen kann</w:t>
      </w:r>
      <w:r w:rsidR="005A61F7">
        <w:rPr>
          <w:rFonts w:eastAsia="Times New Roman" w:cs="Arial"/>
          <w:color w:val="000000"/>
          <w:lang w:val="de-CH"/>
        </w:rPr>
        <w:fldChar w:fldCharType="begin" w:fldLock="1"/>
      </w:r>
      <w:r w:rsidR="00EB3E0D">
        <w:rPr>
          <w:rFonts w:eastAsia="Times New Roman" w:cs="Arial"/>
          <w:color w:val="000000"/>
          <w:lang w:val="de-CH"/>
        </w:rPr>
        <w:instrText>ADDIN CSL_CITATION {"citationItems":[{"id":"ITEM-1","itemData":{"DOI":"10.1046/j.1523-1739.2001.015003578.x","ISSN":"08888892","abstract":"Policies to reduce global warming by offering credits for carbon sequestration have neglected the effects of forest management on biodiversity. I review properties of forest ecosystems and management options for enhancing the resistance and resilience of forests to climate change. Although forests, as a class, have proved resilient to past changes in climate, today's fragmented and degraded forests are more vulnerable. Adaptation of species to climate change can occur through phenotypic plasticity, evolution, or migration to suitable sites, with the latter probably the most common response in the past. Among the land-use and management practices likely to maintain forest biodiversity and ecological functions during climate change are (1) representing forest types across environmental gradients in reserves; (2) protecting climatic refugia at multiple scales; (3) protecting primary forests; (4) avoiding fragmentation and providing connectivity, especially parallel to climatic gradients; (5) providing buffer zones for adjustment of reserve boundaries; (6) practicing low-intensity forestry and preventing conversion of natural forests to plantations; (7) maintaining natural fire regimes; (8) maintaining diverse gene pools; and (9) identifying and protecting functional groups and keystone species. Good forest management in a time of rapidly changing climate differs little from good forest management under more static conditions, but there is increased emphasis on protecting climatic refugia and providing connectivity.","author":[{"dropping-particle":"","family":"Noss","given":"R. F.","non-dropping-particle":"","parse-names":false,"suffix":""}],"container-title":"Conservation Biology","id":"ITEM-1","issued":{"date-parts":[["2001"]]},"note":"Yes","title":"Beyond kyoto: Forest management in a time of rapid climate change","type":"article"},"uris":["http://www.mendeley.com/documents/?uuid=03dd97a3-a710-476d-b6f7-4bdc1329de96"]}],"mendeley":{"formattedCitation":"&lt;sup&gt;14&lt;/sup&gt;","plainTextFormattedCitation":"14","previouslyFormattedCitation":"&lt;sup&gt;14&lt;/sup&gt;"},"properties":{"noteIndex":0},"schema":"https://github.com/citation-style-language/schema/raw/master/csl-citation.json"}</w:instrText>
      </w:r>
      <w:r w:rsidR="005A61F7">
        <w:rPr>
          <w:rFonts w:eastAsia="Times New Roman" w:cs="Arial"/>
          <w:color w:val="000000"/>
          <w:lang w:val="de-CH"/>
        </w:rPr>
        <w:fldChar w:fldCharType="separate"/>
      </w:r>
      <w:r w:rsidR="00EB3E0D" w:rsidRPr="00EB3E0D">
        <w:rPr>
          <w:rFonts w:eastAsia="Times New Roman" w:cs="Arial"/>
          <w:noProof/>
          <w:color w:val="000000"/>
          <w:vertAlign w:val="superscript"/>
          <w:lang w:val="de-CH"/>
        </w:rPr>
        <w:t>14</w:t>
      </w:r>
      <w:r w:rsidR="005A61F7">
        <w:rPr>
          <w:rFonts w:eastAsia="Times New Roman" w:cs="Arial"/>
          <w:color w:val="000000"/>
          <w:lang w:val="de-CH"/>
        </w:rPr>
        <w:fldChar w:fldCharType="end"/>
      </w:r>
      <w:r w:rsidRPr="0099220F">
        <w:rPr>
          <w:rFonts w:eastAsia="Times New Roman" w:cs="Arial"/>
          <w:color w:val="000000"/>
          <w:lang w:val="de-CH"/>
        </w:rPr>
        <w:t>. Auf lokaler Ebene ist die Selbstverwaltung, also mit Einbezug der Bevölkerung, der Wälder eine Lösung</w:t>
      </w:r>
      <w:r w:rsidR="005A61F7">
        <w:rPr>
          <w:rFonts w:eastAsia="Times New Roman" w:cs="Arial"/>
          <w:color w:val="000000"/>
          <w:lang w:val="de-CH"/>
        </w:rPr>
        <w:fldChar w:fldCharType="begin" w:fldLock="1"/>
      </w:r>
      <w:r w:rsidR="0090638A">
        <w:rPr>
          <w:rFonts w:eastAsia="Times New Roman" w:cs="Arial"/>
          <w:color w:val="000000"/>
          <w:lang w:val="de-CH"/>
        </w:rPr>
        <w:instrText>ADDIN CSL_CITATION {"citationItems":[{"id":"ITEM-1","itemData":{"DOI":"10.1016/j.forpol.2014.05.008","ISSN":"13899341","abstract":"This paper aims to assess the emergence of the concept of forest governance in the field of forest policy analysis. This assessment is mainly theoretical in nature. The various meanings and main criticisms of forest governance will be dealt with. In so doing, the paper applies the so-called 'Triple G' perspective (government, governance, governmentality). Firstly, the paper explains the emergence of the forest governance concept from the shortcomings of forest government, or 'state forestry' (overexploitation, policy failure, corruption). In a next step, it also criticises the concept of forest governance, now using a governmentality perspective. This latter view assumes that control by the state and self-governance by people go hand in hand. It thus challenges one of the key assumptions in many governance studies, namely that the state has substantially withdrawn from the forest sector and that forest politics has been relocated from the state to the market and to society.","author":[{"dropping-particle":"","family":"Arts","given":"Bas","non-dropping-particle":"","parse-names":false,"suffix":""}],"container-title":"Forest Policy and Economics","id":"ITEM-1","issued":{"date-parts":[["2014"]]},"note":"Verworfen: Fokus auf &amp;quot;forest governance&amp;quot;. Interessant als theoretisches Wissen hinter dem Prozess hinter dem Wald management, aber zu wenig mit unserer Fragestellung verbunden.","title":"Assessing forest governance from a 'Triple G' perspective: Government, governance, governmentality*","type":"article-journal"},"uris":["http://www.mendeley.com/documents/?uuid=7dfb622a-399c-40a3-b65b-c34fdaf9641b"]}],"mendeley":{"formattedCitation":"&lt;sup&gt;23&lt;/sup&gt;","plainTextFormattedCitation":"23","previouslyFormattedCitation":"&lt;sup&gt;23&lt;/sup&gt;"},"properties":{"noteIndex":0},"schema":"https://github.com/citation-style-language/schema/raw/master/csl-citation.json"}</w:instrText>
      </w:r>
      <w:r w:rsidR="005A61F7">
        <w:rPr>
          <w:rFonts w:eastAsia="Times New Roman" w:cs="Arial"/>
          <w:color w:val="000000"/>
          <w:lang w:val="de-CH"/>
        </w:rPr>
        <w:fldChar w:fldCharType="separate"/>
      </w:r>
      <w:r w:rsidR="0090638A" w:rsidRPr="0090638A">
        <w:rPr>
          <w:rFonts w:eastAsia="Times New Roman" w:cs="Arial"/>
          <w:noProof/>
          <w:color w:val="000000"/>
          <w:vertAlign w:val="superscript"/>
          <w:lang w:val="de-CH"/>
        </w:rPr>
        <w:t>23</w:t>
      </w:r>
      <w:r w:rsidR="005A61F7">
        <w:rPr>
          <w:rFonts w:eastAsia="Times New Roman" w:cs="Arial"/>
          <w:color w:val="000000"/>
          <w:lang w:val="de-CH"/>
        </w:rPr>
        <w:fldChar w:fldCharType="end"/>
      </w:r>
      <w:r w:rsidRPr="0099220F">
        <w:rPr>
          <w:rFonts w:eastAsia="Times New Roman" w:cs="Arial"/>
          <w:color w:val="000000"/>
          <w:lang w:val="de-CH"/>
        </w:rPr>
        <w:t xml:space="preserve">. Die Integration von Klimawandel, als eine Art der menschlichen Zerstörung, ist zurzeit in den </w:t>
      </w:r>
      <w:r w:rsidRPr="005A61F7">
        <w:rPr>
          <w:rFonts w:eastAsia="Times New Roman" w:cs="Arial"/>
          <w:color w:val="000000"/>
          <w:lang w:val="en-US"/>
        </w:rPr>
        <w:t>Policies</w:t>
      </w:r>
      <w:r w:rsidRPr="0099220F">
        <w:rPr>
          <w:rFonts w:eastAsia="Times New Roman" w:cs="Arial"/>
          <w:color w:val="000000"/>
          <w:lang w:val="de-CH"/>
        </w:rPr>
        <w:t xml:space="preserve"> wenig integriert</w:t>
      </w:r>
      <w:r w:rsidR="005A61F7">
        <w:rPr>
          <w:rFonts w:eastAsia="Times New Roman" w:cs="Arial"/>
          <w:color w:val="000000"/>
          <w:lang w:val="de-CH"/>
        </w:rPr>
        <w:fldChar w:fldCharType="begin" w:fldLock="1"/>
      </w:r>
      <w:r w:rsidR="00EB3E0D">
        <w:rPr>
          <w:rFonts w:eastAsia="Times New Roman" w:cs="Arial"/>
          <w:color w:val="000000"/>
          <w:lang w:val="de-CH"/>
        </w:rPr>
        <w:instrText>ADDIN CSL_CITATION {"citationItems":[{"id":"ITEM-1","itemData":{"DOI":"10.1007/s11027-008-9155-4","ISSN":"13812386","abstract":"Many studies have suggested various kinds of forest policies, management planning and practices to help forests adapt to climate change. These recommendations are often generic, based mostly on case studies from temperate countries and rarely from Africa. We argue that policy and management recommendations aimed at integrating adaptation into national forest policies and practices in Africa should start with an inventory and careful examination of existing policies and practices in order to understand the nature and extent of intervention required to influence the adaptation of forest ecosystems to climate change. This paper aims to contribute to closing this gap in knowledge detrimental to decision making through the review and analysis of current forest policies and practices in Burkina Faso and Ghana and highlighting elements that have the potential to influence the adaptation of forest ecosystems to climate change. The analysis revealed that adaptation (and mitigation) are not part of current forest policies in Burkina Faso and Ghana, but instead policies contain elements of risk management practices which are also relevant to the adaptation of forest ecosystems. Some of these elements are found in policies on the management of forest fires, forest genetic resources, non-timber resources, tree regeneration and silvicultural practices. To facilitate and enhance the management of these elements, a number of recommendations are suggested. Their implementation will require experienced and well-trained forestry personnel, financial resources, socio-cultural and political dimensions, and the political will of decision makers to act appropriately by formulating necessary policies and mainstreaming adaptation into forest policy and management planning. © 2008 The Author(s).","author":[{"dropping-particle":"","family":"Kalame","given":"Fobissie B.","non-dropping-particle":"","parse-names":false,"suffix":""},{"dropping-particle":"","family":"Nkem","given":"Johnson","non-dropping-particle":"","parse-names":false,"suffix":""},{"dropping-particle":"","family":"Idinoba","given":"Monica","non-dropping-particle":"","parse-names":false,"suffix":""},{"dropping-particle":"","family":"Kanninen","given":"Markku","non-dropping-particle":"","parse-names":false,"suffix":""}],"container-title":"Mitigation and Adaptation Strategies for Global Change","id":"ITEM-1","issued":{"date-parts":[["2009"]]},"title":"Matching national forest policies and management practices for climate change adaptation in Burkina Faso and Ghana","type":"article-journal"},"uris":["http://www.mendeley.com/documents/?uuid=75e2181d-5841-4273-b5b7-19bfe2c70b60"]}],"mendeley":{"formattedCitation":"&lt;sup&gt;15&lt;/sup&gt;","plainTextFormattedCitation":"15","previouslyFormattedCitation":"&lt;sup&gt;15&lt;/sup&gt;"},"properties":{"noteIndex":0},"schema":"https://github.com/citation-style-language/schema/raw/master/csl-citation.json"}</w:instrText>
      </w:r>
      <w:r w:rsidR="005A61F7">
        <w:rPr>
          <w:rFonts w:eastAsia="Times New Roman" w:cs="Arial"/>
          <w:color w:val="000000"/>
          <w:lang w:val="de-CH"/>
        </w:rPr>
        <w:fldChar w:fldCharType="separate"/>
      </w:r>
      <w:r w:rsidR="00EB3E0D" w:rsidRPr="00EB3E0D">
        <w:rPr>
          <w:rFonts w:eastAsia="Times New Roman" w:cs="Arial"/>
          <w:noProof/>
          <w:color w:val="000000"/>
          <w:vertAlign w:val="superscript"/>
          <w:lang w:val="de-CH"/>
        </w:rPr>
        <w:t>15</w:t>
      </w:r>
      <w:r w:rsidR="005A61F7">
        <w:rPr>
          <w:rFonts w:eastAsia="Times New Roman" w:cs="Arial"/>
          <w:color w:val="000000"/>
          <w:lang w:val="de-CH"/>
        </w:rPr>
        <w:fldChar w:fldCharType="end"/>
      </w:r>
      <w:r w:rsidRPr="0099220F">
        <w:rPr>
          <w:rFonts w:eastAsia="Times New Roman" w:cs="Arial"/>
          <w:color w:val="000000"/>
          <w:lang w:val="de-CH"/>
        </w:rPr>
        <w:t xml:space="preserve">. Der politische Rahmen ist oftmals in der Theorie gegeben, jedoch scheitert es an der Praxis. Anreize und Instrumente wurden geschaffen, sowie Ideen wie die </w:t>
      </w:r>
      <w:r w:rsidRPr="005A61F7">
        <w:rPr>
          <w:rFonts w:eastAsia="Times New Roman" w:cs="Arial"/>
          <w:color w:val="000000"/>
          <w:lang w:val="en-US"/>
        </w:rPr>
        <w:t>Policies</w:t>
      </w:r>
      <w:r w:rsidRPr="0099220F">
        <w:rPr>
          <w:rFonts w:eastAsia="Times New Roman" w:cs="Arial"/>
          <w:color w:val="000000"/>
          <w:lang w:val="de-CH"/>
        </w:rPr>
        <w:t xml:space="preserve"> in die Praxis erweitert (Partnerschaften oder Integration von </w:t>
      </w:r>
      <w:r w:rsidRPr="005A61F7">
        <w:rPr>
          <w:rFonts w:eastAsia="Times New Roman" w:cs="Arial"/>
          <w:color w:val="000000"/>
          <w:lang w:val="en-US"/>
        </w:rPr>
        <w:t>Mitigation</w:t>
      </w:r>
      <w:r w:rsidRPr="0099220F">
        <w:rPr>
          <w:rFonts w:eastAsia="Times New Roman" w:cs="Arial"/>
          <w:color w:val="000000"/>
          <w:lang w:val="de-CH"/>
        </w:rPr>
        <w:t xml:space="preserve"> und Adaption) werden können</w:t>
      </w:r>
      <w:r w:rsidR="005A61F7">
        <w:rPr>
          <w:rFonts w:eastAsia="Times New Roman" w:cs="Arial"/>
          <w:color w:val="000000"/>
          <w:lang w:val="de-CH"/>
        </w:rPr>
        <w:fldChar w:fldCharType="begin" w:fldLock="1"/>
      </w:r>
      <w:r w:rsidR="00EB3E0D">
        <w:rPr>
          <w:rFonts w:eastAsia="Times New Roman" w:cs="Arial"/>
          <w:color w:val="000000"/>
          <w:lang w:val="de-CH"/>
        </w:rPr>
        <w:instrText>ADDIN CSL_CITATION {"citationItems":[{"id":"ITEM-1","itemData":{"DOI":"10.1016/j.gloenvcha.2006.11.003","ISSN":"09593780","abstract":"One of the major current global environmental challenges is the conservation of forest biodiversity. Deforestation and forest degradation continue despite international governmental agreements on forest conservation. In recent years private regulation in the international forest governance system has increased. Numerous partnerships between governments, business and/or civil society have been developed. Most of them focus on a single threat to forest biodiversity. This private regulation has had a limited positive impact. The most valuable contribution has been filling the gap of lack of implementation by governments. The forest governance system can become more effective if metagovernance is strengthened. © 2006 Elsevier Ltd. All rights reserved.","author":[{"dropping-particle":"","family":"Visseren-Hamakers","given":"Ingrid J.","non-dropping-particle":"","parse-names":false,"suffix":""},{"dropping-particle":"","family":"Glasbergen","given":"Pieter","non-dropping-particle":"","parse-names":false,"suffix":""}],"container-title":"Global Environmental Change","id":"ITEM-1","issued":{"date-parts":[["2007"]]},"title":"Partnerships in forest governance","type":"article-journal"},"uris":["http://www.mendeley.com/documents/?uuid=56ab0ffd-56c6-4359-bfd0-23df80f657b1"]}],"mendeley":{"formattedCitation":"&lt;sup&gt;16&lt;/sup&gt;","plainTextFormattedCitation":"16","previouslyFormattedCitation":"&lt;sup&gt;16&lt;/sup&gt;"},"properties":{"noteIndex":0},"schema":"https://github.com/citation-style-language/schema/raw/master/csl-citation.json"}</w:instrText>
      </w:r>
      <w:r w:rsidR="005A61F7">
        <w:rPr>
          <w:rFonts w:eastAsia="Times New Roman" w:cs="Arial"/>
          <w:color w:val="000000"/>
          <w:lang w:val="de-CH"/>
        </w:rPr>
        <w:fldChar w:fldCharType="separate"/>
      </w:r>
      <w:r w:rsidR="00EB3E0D" w:rsidRPr="00EB3E0D">
        <w:rPr>
          <w:rFonts w:eastAsia="Times New Roman" w:cs="Arial"/>
          <w:noProof/>
          <w:color w:val="000000"/>
          <w:vertAlign w:val="superscript"/>
          <w:lang w:val="de-CH"/>
        </w:rPr>
        <w:t>16</w:t>
      </w:r>
      <w:r w:rsidR="005A61F7">
        <w:rPr>
          <w:rFonts w:eastAsia="Times New Roman" w:cs="Arial"/>
          <w:color w:val="000000"/>
          <w:lang w:val="de-CH"/>
        </w:rPr>
        <w:fldChar w:fldCharType="end"/>
      </w:r>
      <w:r w:rsidR="005A61F7">
        <w:rPr>
          <w:rFonts w:eastAsia="Times New Roman" w:cs="Arial"/>
          <w:color w:val="000000"/>
          <w:vertAlign w:val="superscript"/>
          <w:lang w:val="de-CH"/>
        </w:rPr>
        <w:t>,</w:t>
      </w:r>
      <w:r w:rsidR="005A61F7">
        <w:rPr>
          <w:rFonts w:eastAsia="Times New Roman" w:cs="Arial"/>
          <w:color w:val="000000"/>
          <w:lang w:val="de-CH"/>
        </w:rPr>
        <w:fldChar w:fldCharType="begin" w:fldLock="1"/>
      </w:r>
      <w:r w:rsidR="0090638A">
        <w:rPr>
          <w:rFonts w:eastAsia="Times New Roman" w:cs="Arial"/>
          <w:color w:val="000000"/>
          <w:lang w:val="de-CH"/>
        </w:rPr>
        <w:instrText>ADDIN CSL_CITATION {"citationItems":[{"id":"ITEM-1","itemData":{"DOI":"10.3390/f2010431","ISSN":"19994907","abstract":"Climate change can be addressed by mitigation (reducing the sources or enhancing the sinks of greenhouse gases) and adaptation (reducing the impacts of climate change). Mitigation and adaptation present two fundamentally dissimilar approaches whose differences are now well documented. Forest ecosystems play an important role in both adaptation and mitigation and there is a need to explore the linkages between these two options in order to understand their trade-offs and synergies. In forests, potential trade-offs can be observed between global ecosystem services, such as the carbon sequestration relevant for mitigation, and the local ecosystem services that are relevant for adaptation. In addition, mitigation projects can facilitate or hinder the adaptation of local people to climate change, whereas adaptation projects can affect ecosystems and their potential to sequester carbon. Linkages between adaptation and mitigation can also be observed in policies, but few climate change or forest policies have addressed these linkages in the forestry sector. This paper presents examples of linkages between adaptation and mitigation in Latin American forests. Through case studies, we investigate the approaches and reasons for integrating adaptation into mitigation projects or mitigation into adaptation projects. We also analyze the opportunities for mainstreaming adaptation-mitigation linkages into forest or climate change policies. © 2011 by the authors; licensee MDPI, Basel, Switzerland.","author":[{"dropping-particle":"","family":"Locatelli","given":"Bruno","non-dropping-particle":"","parse-names":false,"suffix":""},{"dropping-particle":"","family":"Evans","given":"Vanessa","non-dropping-particle":"","parse-names":false,"suffix":""},{"dropping-particle":"","family":"Wardell","given":"Andrew","non-dropping-particle":"","parse-names":false,"suffix":""},{"dropping-particle":"","family":"Andrade","given":"Angela","non-dropping-particle":"","parse-names":false,"suffix":""},{"dropping-particle":"","family":"Vignola","given":"Raffaele","non-dropping-particle":"","parse-names":false,"suffix":""}],"container-title":"Forests","id":"ITEM-1","issued":{"date-parts":[["2011"]]},"note":"Specifically Latin america, but it links adaptation, mitigation and climate policies into one paper.","title":"Forests and climate change in latin America: Linking adaptation and mitigation","type":"article-journal"},"uris":["http://www.mendeley.com/documents/?uuid=450a2b12-3a49-4cd9-9335-ec95ce8cf0b8"]}],"mendeley":{"formattedCitation":"&lt;sup&gt;24&lt;/sup&gt;","plainTextFormattedCitation":"24","previouslyFormattedCitation":"&lt;sup&gt;24&lt;/sup&gt;"},"properties":{"noteIndex":0},"schema":"https://github.com/citation-style-language/schema/raw/master/csl-citation.json"}</w:instrText>
      </w:r>
      <w:r w:rsidR="005A61F7">
        <w:rPr>
          <w:rFonts w:eastAsia="Times New Roman" w:cs="Arial"/>
          <w:color w:val="000000"/>
          <w:lang w:val="de-CH"/>
        </w:rPr>
        <w:fldChar w:fldCharType="separate"/>
      </w:r>
      <w:r w:rsidR="0090638A" w:rsidRPr="0090638A">
        <w:rPr>
          <w:rFonts w:eastAsia="Times New Roman" w:cs="Arial"/>
          <w:noProof/>
          <w:color w:val="000000"/>
          <w:vertAlign w:val="superscript"/>
          <w:lang w:val="de-CH"/>
        </w:rPr>
        <w:t>24</w:t>
      </w:r>
      <w:r w:rsidR="005A61F7">
        <w:rPr>
          <w:rFonts w:eastAsia="Times New Roman" w:cs="Arial"/>
          <w:color w:val="000000"/>
          <w:lang w:val="de-CH"/>
        </w:rPr>
        <w:fldChar w:fldCharType="end"/>
      </w:r>
      <w:r w:rsidRPr="0099220F">
        <w:rPr>
          <w:rFonts w:eastAsia="Times New Roman" w:cs="Arial"/>
          <w:color w:val="000000"/>
          <w:lang w:val="de-CH"/>
        </w:rPr>
        <w:t>.</w:t>
      </w:r>
    </w:p>
    <w:p w14:paraId="7DA747EC" w14:textId="586BEAA0" w:rsidR="00B34357" w:rsidRPr="00776E34" w:rsidRDefault="00776E34" w:rsidP="00B34357">
      <w:pPr>
        <w:pStyle w:val="berschrift3"/>
        <w:rPr>
          <w:lang w:val="en-US"/>
        </w:rPr>
      </w:pPr>
      <w:r w:rsidRPr="00776E34">
        <w:rPr>
          <w:lang w:val="en-US"/>
        </w:rPr>
        <w:t>Beyond Kyoto: Forest management in a time of rapid climate change</w:t>
      </w:r>
      <w:r w:rsidR="00C01E64">
        <w:rPr>
          <w:lang w:val="en-US"/>
        </w:rPr>
        <w:fldChar w:fldCharType="begin" w:fldLock="1"/>
      </w:r>
      <w:r w:rsidR="00EB3E0D">
        <w:rPr>
          <w:lang w:val="en-US"/>
        </w:rPr>
        <w:instrText>ADDIN CSL_CITATION {"citationItems":[{"id":"ITEM-1","itemData":{"DOI":"10.1046/j.1523-1739.2001.015003578.x","ISSN":"08888892","abstract":"Policies to reduce global warming by offering credits for carbon sequestration have neglected the effects of forest management on biodiversity. I review properties of forest ecosystems and management options for enhancing the resistance and resilience of forests to climate change. Although forests, as a class, have proved resilient to past changes in climate, today's fragmented and degraded forests are more vulnerable. Adaptation of species to climate change can occur through phenotypic plasticity, evolution, or migration to suitable sites, with the latter probably the most common response in the past. Among the land-use and management practices likely to maintain forest biodiversity and ecological functions during climate change are (1) representing forest types across environmental gradients in reserves; (2) protecting climatic refugia at multiple scales; (3) protecting primary forests; (4) avoiding fragmentation and providing connectivity, especially parallel to climatic gradients; (5) providing buffer zones for adjustment of reserve boundaries; (6) practicing low-intensity forestry and preventing conversion of natural forests to plantations; (7) maintaining natural fire regimes; (8) maintaining diverse gene pools; and (9) identifying and protecting functional groups and keystone species. Good forest management in a time of rapidly changing climate differs little from good forest management under more static conditions, but there is increased emphasis on protecting climatic refugia and providing connectivity.","author":[{"dropping-particle":"","family":"Noss","given":"R. F.","non-dropping-particle":"","parse-names":false,"suffix":""}],"container-title":"Conservation Biology","id":"ITEM-1","issued":{"date-parts":[["2001"]]},"note":"Yes","title":"Beyond kyoto: Forest management in a time of rapid climate change","type":"article"},"uris":["http://www.mendeley.com/documents/?uuid=03dd97a3-a710-476d-b6f7-4bdc1329de96"]}],"mendeley":{"formattedCitation":"&lt;sup&gt;14&lt;/sup&gt;","plainTextFormattedCitation":"14","previouslyFormattedCitation":"&lt;sup&gt;14&lt;/sup&gt;"},"properties":{"noteIndex":0},"schema":"https://github.com/citation-style-language/schema/raw/master/csl-citation.json"}</w:instrText>
      </w:r>
      <w:r w:rsidR="00C01E64">
        <w:rPr>
          <w:lang w:val="en-US"/>
        </w:rPr>
        <w:fldChar w:fldCharType="separate"/>
      </w:r>
      <w:r w:rsidR="00EB3E0D" w:rsidRPr="00EB3E0D">
        <w:rPr>
          <w:noProof/>
          <w:vertAlign w:val="superscript"/>
          <w:lang w:val="en-US"/>
        </w:rPr>
        <w:t>14</w:t>
      </w:r>
      <w:r w:rsidR="00C01E64">
        <w:rPr>
          <w:lang w:val="en-US"/>
        </w:rPr>
        <w:fldChar w:fldCharType="end"/>
      </w:r>
    </w:p>
    <w:p w14:paraId="67033891" w14:textId="161393ED" w:rsidR="006868E3" w:rsidRPr="006868E3" w:rsidRDefault="006868E3" w:rsidP="006E2D8E">
      <w:pPr>
        <w:pStyle w:val="Listenabsatz"/>
        <w:numPr>
          <w:ilvl w:val="0"/>
          <w:numId w:val="14"/>
        </w:numPr>
        <w:spacing w:line="24" w:lineRule="atLeast"/>
        <w:jc w:val="both"/>
        <w:rPr>
          <w:rFonts w:ascii="Calibri" w:eastAsia="Times New Roman" w:hAnsi="Calibri" w:cstheme="majorHAnsi"/>
          <w:lang w:val="de-CH" w:eastAsia="de-DE"/>
        </w:rPr>
      </w:pPr>
      <w:r w:rsidRPr="00D21EB1">
        <w:rPr>
          <w:rFonts w:ascii="Calibri" w:eastAsia="Times New Roman" w:hAnsi="Calibri" w:cstheme="majorHAnsi"/>
          <w:color w:val="000000"/>
          <w:lang w:val="de-CH" w:eastAsia="de-DE"/>
        </w:rPr>
        <w:t>Internationales Abkommen</w:t>
      </w:r>
    </w:p>
    <w:p w14:paraId="248CBE59" w14:textId="72A8EB9F" w:rsidR="006868E3" w:rsidRPr="006868E3" w:rsidRDefault="006868E3" w:rsidP="006E2D8E">
      <w:pPr>
        <w:pStyle w:val="Listenabsatz"/>
        <w:numPr>
          <w:ilvl w:val="0"/>
          <w:numId w:val="14"/>
        </w:numPr>
        <w:spacing w:line="24" w:lineRule="atLeast"/>
        <w:ind w:left="714" w:hanging="357"/>
        <w:jc w:val="both"/>
        <w:rPr>
          <w:rFonts w:ascii="Calibri" w:eastAsia="Times New Roman" w:hAnsi="Calibri" w:cstheme="majorHAnsi"/>
          <w:lang w:val="de-CH" w:eastAsia="de-DE"/>
        </w:rPr>
      </w:pPr>
      <w:r w:rsidRPr="00D21EB1">
        <w:rPr>
          <w:rFonts w:ascii="Calibri" w:eastAsia="Times New Roman" w:hAnsi="Calibri" w:cstheme="majorHAnsi"/>
          <w:color w:val="000000"/>
          <w:lang w:val="de-CH" w:eastAsia="de-DE"/>
        </w:rPr>
        <w:t>Anreiz</w:t>
      </w:r>
      <w:r>
        <w:rPr>
          <w:rFonts w:ascii="Calibri" w:eastAsia="Times New Roman" w:hAnsi="Calibri" w:cstheme="majorHAnsi"/>
          <w:color w:val="000000"/>
          <w:lang w:val="de-CH" w:eastAsia="de-DE"/>
        </w:rPr>
        <w:t>: Länder kriegen "</w:t>
      </w:r>
      <w:proofErr w:type="spellStart"/>
      <w:r>
        <w:rPr>
          <w:rFonts w:ascii="Calibri" w:eastAsia="Times New Roman" w:hAnsi="Calibri" w:cstheme="majorHAnsi"/>
          <w:color w:val="000000"/>
          <w:lang w:val="de-CH" w:eastAsia="de-DE"/>
        </w:rPr>
        <w:t>Credits</w:t>
      </w:r>
      <w:proofErr w:type="spellEnd"/>
      <w:r>
        <w:rPr>
          <w:rFonts w:ascii="Calibri" w:eastAsia="Times New Roman" w:hAnsi="Calibri" w:cstheme="majorHAnsi"/>
          <w:color w:val="000000"/>
          <w:lang w:val="de-CH" w:eastAsia="de-DE"/>
        </w:rPr>
        <w:t>" bei R</w:t>
      </w:r>
      <w:r w:rsidRPr="00D21EB1">
        <w:rPr>
          <w:rFonts w:ascii="Calibri" w:eastAsia="Times New Roman" w:hAnsi="Calibri" w:cstheme="majorHAnsi"/>
          <w:color w:val="000000"/>
          <w:lang w:val="de-CH" w:eastAsia="de-DE"/>
        </w:rPr>
        <w:t xml:space="preserve">eduzierung von Emissionen </w:t>
      </w:r>
    </w:p>
    <w:p w14:paraId="317E6A2E" w14:textId="402C5B1F" w:rsidR="006868E3" w:rsidRPr="006868E3" w:rsidRDefault="006868E3" w:rsidP="006E2D8E">
      <w:pPr>
        <w:pStyle w:val="Listenabsatz"/>
        <w:numPr>
          <w:ilvl w:val="0"/>
          <w:numId w:val="14"/>
        </w:numPr>
        <w:spacing w:line="24" w:lineRule="atLeast"/>
        <w:ind w:left="714" w:hanging="357"/>
        <w:jc w:val="both"/>
        <w:rPr>
          <w:rFonts w:ascii="Calibri" w:eastAsia="Times New Roman" w:hAnsi="Calibri" w:cstheme="majorHAnsi"/>
          <w:lang w:val="de-CH" w:eastAsia="de-DE"/>
        </w:rPr>
      </w:pPr>
      <w:r w:rsidRPr="00D21EB1">
        <w:rPr>
          <w:rFonts w:ascii="Calibri" w:eastAsia="Times New Roman" w:hAnsi="Calibri" w:cstheme="majorHAnsi"/>
          <w:color w:val="000000"/>
          <w:lang w:val="de-CH" w:eastAsia="de-DE"/>
        </w:rPr>
        <w:t xml:space="preserve">Emissionen reduzieren:  aufforsten oder wiederaufforsten </w:t>
      </w:r>
    </w:p>
    <w:p w14:paraId="2316F4A7" w14:textId="76B0EBBE" w:rsidR="006868E3" w:rsidRPr="006868E3" w:rsidRDefault="006868E3" w:rsidP="006E2D8E">
      <w:pPr>
        <w:pStyle w:val="Listenabsatz"/>
        <w:numPr>
          <w:ilvl w:val="0"/>
          <w:numId w:val="14"/>
        </w:numPr>
        <w:spacing w:line="24" w:lineRule="atLeast"/>
        <w:ind w:left="714" w:hanging="357"/>
        <w:jc w:val="both"/>
        <w:rPr>
          <w:rFonts w:ascii="Calibri" w:eastAsia="Times New Roman" w:hAnsi="Calibri" w:cstheme="majorHAnsi"/>
          <w:lang w:val="de-CH" w:eastAsia="de-DE"/>
        </w:rPr>
      </w:pPr>
      <w:r w:rsidRPr="00D21EB1">
        <w:rPr>
          <w:rFonts w:ascii="Calibri" w:eastAsia="Times New Roman" w:hAnsi="Calibri" w:cstheme="majorHAnsi"/>
          <w:color w:val="000000"/>
          <w:lang w:val="de-CH" w:eastAsia="de-DE"/>
        </w:rPr>
        <w:t xml:space="preserve">Nachteil: Anreiz um Bäume auf natürliche Grasflächen zu Pflanzen </w:t>
      </w:r>
      <w:r w:rsidRPr="00D21EB1">
        <w:rPr>
          <w:rFonts w:ascii="Calibri" w:hAnsi="Calibri"/>
          <w:lang w:eastAsia="de-DE"/>
        </w:rPr>
        <w:sym w:font="Wingdings" w:char="F0E0"/>
      </w:r>
      <w:r w:rsidRPr="00D21EB1">
        <w:rPr>
          <w:rFonts w:ascii="Calibri" w:eastAsia="Times New Roman" w:hAnsi="Calibri" w:cstheme="majorHAnsi"/>
          <w:color w:val="000000"/>
          <w:lang w:val="de-CH" w:eastAsia="de-DE"/>
        </w:rPr>
        <w:t xml:space="preserve"> </w:t>
      </w:r>
      <w:proofErr w:type="spellStart"/>
      <w:r w:rsidRPr="00D21EB1">
        <w:rPr>
          <w:rFonts w:ascii="Calibri" w:eastAsia="Times New Roman" w:hAnsi="Calibri" w:cstheme="majorHAnsi"/>
          <w:color w:val="000000"/>
          <w:lang w:val="de-CH" w:eastAsia="de-DE"/>
        </w:rPr>
        <w:t>Credits</w:t>
      </w:r>
      <w:proofErr w:type="spellEnd"/>
    </w:p>
    <w:p w14:paraId="42B45F1E" w14:textId="77777777" w:rsidR="006868E3" w:rsidRPr="00D21EB1" w:rsidRDefault="006868E3" w:rsidP="006E2D8E">
      <w:pPr>
        <w:pStyle w:val="Listenabsatz"/>
        <w:numPr>
          <w:ilvl w:val="0"/>
          <w:numId w:val="14"/>
        </w:numPr>
        <w:spacing w:line="24" w:lineRule="atLeast"/>
        <w:ind w:left="714" w:hanging="357"/>
        <w:jc w:val="both"/>
        <w:rPr>
          <w:rFonts w:ascii="Calibri" w:eastAsia="Times New Roman" w:hAnsi="Calibri" w:cstheme="majorHAnsi"/>
          <w:lang w:val="de-CH" w:eastAsia="de-DE"/>
        </w:rPr>
      </w:pPr>
      <w:r w:rsidRPr="00D21EB1">
        <w:rPr>
          <w:rFonts w:ascii="Calibri" w:eastAsia="Times New Roman" w:hAnsi="Calibri" w:cstheme="majorHAnsi"/>
          <w:color w:val="000000"/>
          <w:lang w:val="de-CH" w:eastAsia="de-DE"/>
        </w:rPr>
        <w:t>Unabhängig vom Protokoll: bestehende primär Wälder schützen</w:t>
      </w:r>
    </w:p>
    <w:p w14:paraId="4B6C0FCD" w14:textId="3420D954" w:rsidR="00B34357" w:rsidRPr="00776E34" w:rsidRDefault="00776E34" w:rsidP="00B34357">
      <w:pPr>
        <w:pStyle w:val="berschrift3"/>
        <w:rPr>
          <w:lang w:val="en-US"/>
        </w:rPr>
      </w:pPr>
      <w:r w:rsidRPr="00776E34">
        <w:rPr>
          <w:lang w:val="en-US"/>
        </w:rPr>
        <w:t>Assessing forest governance from a ‚triple G’ perspective: Government, governance, governmentality*</w:t>
      </w:r>
      <w:r w:rsidR="00C01E64">
        <w:rPr>
          <w:lang w:val="en-US"/>
        </w:rPr>
        <w:fldChar w:fldCharType="begin" w:fldLock="1"/>
      </w:r>
      <w:r w:rsidR="0090638A">
        <w:rPr>
          <w:lang w:val="en-US"/>
        </w:rPr>
        <w:instrText>ADDIN CSL_CITATION {"citationItems":[{"id":"ITEM-1","itemData":{"DOI":"10.1016/j.forpol.2014.05.008","ISSN":"13899341","abstract":"This paper aims to assess the emergence of the concept of forest governance in the field of forest policy analysis. This assessment is mainly theoretical in nature. The various meanings and main criticisms of forest governance will be dealt with. In so doing, the paper applies the so-called 'Triple G' perspective (government, governance, governmentality). Firstly, the paper explains the emergence of the forest governance concept from the shortcomings of forest government, or 'state forestry' (overexploitation, policy failure, corruption). In a next step, it also criticises the concept of forest governance, now using a governmentality perspective. This latter view assumes that control by the state and self-governance by people go hand in hand. It thus challenges one of the key assumptions in many governance studies, namely that the state has substantially withdrawn from the forest sector and that forest politics has been relocated from the state to the market and to society.","author":[{"dropping-particle":"","family":"Arts","given":"Bas","non-dropping-particle":"","parse-names":false,"suffix":""}],"container-title":"Forest Policy and Economics","id":"ITEM-1","issued":{"date-parts":[["2014"]]},"note":"Verworfen: Fokus auf &amp;quot;forest governance&amp;quot;. Interessant als theoretisches Wissen hinter dem Prozess hinter dem Wald management, aber zu wenig mit unserer Fragestellung verbunden.","title":"Assessing forest governance from a 'Triple G' perspective: Government, governance, governmentality*","type":"article-journal"},"uris":["http://www.mendeley.com/documents/?uuid=7dfb622a-399c-40a3-b65b-c34fdaf9641b"]}],"mendeley":{"formattedCitation":"&lt;sup&gt;23&lt;/sup&gt;","plainTextFormattedCitation":"23","previouslyFormattedCitation":"&lt;sup&gt;23&lt;/sup&gt;"},"properties":{"noteIndex":0},"schema":"https://github.com/citation-style-language/schema/raw/master/csl-citation.json"}</w:instrText>
      </w:r>
      <w:r w:rsidR="00C01E64">
        <w:rPr>
          <w:lang w:val="en-US"/>
        </w:rPr>
        <w:fldChar w:fldCharType="separate"/>
      </w:r>
      <w:r w:rsidR="0090638A" w:rsidRPr="0090638A">
        <w:rPr>
          <w:noProof/>
          <w:vertAlign w:val="superscript"/>
          <w:lang w:val="en-US"/>
        </w:rPr>
        <w:t>23</w:t>
      </w:r>
      <w:r w:rsidR="00C01E64">
        <w:rPr>
          <w:lang w:val="en-US"/>
        </w:rPr>
        <w:fldChar w:fldCharType="end"/>
      </w:r>
    </w:p>
    <w:p w14:paraId="35DB0381" w14:textId="6F0F25E3" w:rsidR="006868E3" w:rsidRPr="006868E3" w:rsidRDefault="006868E3" w:rsidP="006E2D8E">
      <w:pPr>
        <w:pStyle w:val="Listenabsatz"/>
        <w:numPr>
          <w:ilvl w:val="0"/>
          <w:numId w:val="15"/>
        </w:numPr>
        <w:ind w:left="714" w:hanging="357"/>
        <w:jc w:val="both"/>
        <w:rPr>
          <w:rFonts w:ascii="Calibri" w:eastAsia="Times New Roman" w:hAnsi="Calibri" w:cstheme="majorHAnsi"/>
          <w:color w:val="000000"/>
        </w:rPr>
      </w:pPr>
      <w:r w:rsidRPr="00C31381">
        <w:rPr>
          <w:rFonts w:ascii="Calibri" w:eastAsia="Times New Roman" w:hAnsi="Calibri" w:cstheme="majorHAnsi"/>
          <w:color w:val="000000"/>
          <w:lang w:val="de-CH" w:eastAsia="de-DE"/>
        </w:rPr>
        <w:t>Staatliche Regulierung wichtig trotz neuer Instrumente wie REDD+ (</w:t>
      </w:r>
      <w:r w:rsidRPr="006868E3">
        <w:rPr>
          <w:rFonts w:ascii="Calibri" w:eastAsia="Times New Roman" w:hAnsi="Calibri" w:cstheme="majorHAnsi"/>
          <w:b/>
          <w:bCs/>
          <w:iCs/>
          <w:lang w:eastAsia="de-DE"/>
        </w:rPr>
        <w:t>R</w:t>
      </w:r>
      <w:r w:rsidRPr="006868E3">
        <w:rPr>
          <w:rFonts w:ascii="Calibri" w:eastAsia="Times New Roman" w:hAnsi="Calibri" w:cstheme="majorHAnsi"/>
          <w:iCs/>
          <w:lang w:eastAsia="de-DE"/>
        </w:rPr>
        <w:t xml:space="preserve">educing </w:t>
      </w:r>
      <w:r w:rsidRPr="006868E3">
        <w:rPr>
          <w:rFonts w:ascii="Calibri" w:eastAsia="Times New Roman" w:hAnsi="Calibri" w:cstheme="majorHAnsi"/>
          <w:b/>
          <w:bCs/>
          <w:iCs/>
          <w:lang w:eastAsia="de-DE"/>
        </w:rPr>
        <w:t>E</w:t>
      </w:r>
      <w:r w:rsidRPr="006868E3">
        <w:rPr>
          <w:rFonts w:ascii="Calibri" w:eastAsia="Times New Roman" w:hAnsi="Calibri" w:cstheme="majorHAnsi"/>
          <w:iCs/>
          <w:lang w:eastAsia="de-DE"/>
        </w:rPr>
        <w:t xml:space="preserve">missions from </w:t>
      </w:r>
      <w:r w:rsidRPr="006868E3">
        <w:rPr>
          <w:rFonts w:ascii="Calibri" w:eastAsia="Times New Roman" w:hAnsi="Calibri" w:cstheme="majorHAnsi"/>
          <w:b/>
          <w:bCs/>
          <w:iCs/>
          <w:lang w:eastAsia="de-DE"/>
        </w:rPr>
        <w:t>D</w:t>
      </w:r>
      <w:r w:rsidRPr="006868E3">
        <w:rPr>
          <w:rFonts w:ascii="Calibri" w:eastAsia="Times New Roman" w:hAnsi="Calibri" w:cstheme="majorHAnsi"/>
          <w:iCs/>
          <w:lang w:eastAsia="de-DE"/>
        </w:rPr>
        <w:t xml:space="preserve">eforestation and Forest </w:t>
      </w:r>
      <w:r w:rsidRPr="006868E3">
        <w:rPr>
          <w:rFonts w:ascii="Calibri" w:eastAsia="Times New Roman" w:hAnsi="Calibri" w:cstheme="majorHAnsi"/>
          <w:b/>
          <w:bCs/>
          <w:iCs/>
          <w:lang w:eastAsia="de-DE"/>
        </w:rPr>
        <w:t>D</w:t>
      </w:r>
      <w:r>
        <w:rPr>
          <w:rFonts w:ascii="Calibri" w:eastAsia="Times New Roman" w:hAnsi="Calibri" w:cstheme="majorHAnsi"/>
          <w:iCs/>
          <w:lang w:eastAsia="de-DE"/>
        </w:rPr>
        <w:t>egradation</w:t>
      </w:r>
      <w:r w:rsidRPr="00C31381">
        <w:rPr>
          <w:rFonts w:ascii="Calibri" w:eastAsia="Times New Roman" w:hAnsi="Calibri" w:cstheme="majorHAnsi"/>
          <w:iCs/>
          <w:lang w:val="de-CH" w:eastAsia="de-DE"/>
        </w:rPr>
        <w:t>)</w:t>
      </w:r>
    </w:p>
    <w:p w14:paraId="70E1FE34" w14:textId="79EA915F" w:rsidR="006868E3" w:rsidRPr="006868E3" w:rsidRDefault="006868E3" w:rsidP="006E2D8E">
      <w:pPr>
        <w:pStyle w:val="Listenabsatz"/>
        <w:numPr>
          <w:ilvl w:val="0"/>
          <w:numId w:val="15"/>
        </w:numPr>
        <w:ind w:left="714" w:hanging="357"/>
        <w:jc w:val="both"/>
        <w:rPr>
          <w:rFonts w:ascii="Calibri" w:eastAsia="Times New Roman" w:hAnsi="Calibri" w:cstheme="majorHAnsi"/>
          <w:color w:val="000000"/>
        </w:rPr>
      </w:pPr>
      <w:r w:rsidRPr="006868E3">
        <w:rPr>
          <w:rFonts w:ascii="Calibri" w:eastAsia="Times New Roman" w:hAnsi="Calibri" w:cstheme="majorHAnsi"/>
          <w:color w:val="000000"/>
          <w:lang w:eastAsia="de-DE"/>
        </w:rPr>
        <w:t>Three G´s</w:t>
      </w:r>
      <w:r w:rsidRPr="00BF463A">
        <w:rPr>
          <w:rFonts w:ascii="Calibri" w:eastAsia="Times New Roman" w:hAnsi="Calibri" w:cstheme="majorHAnsi"/>
          <w:color w:val="000000"/>
          <w:lang w:val="fr-CH" w:eastAsia="de-DE"/>
        </w:rPr>
        <w:t xml:space="preserve"> Analyse: </w:t>
      </w:r>
      <w:r w:rsidRPr="006868E3">
        <w:rPr>
          <w:rFonts w:ascii="Calibri" w:eastAsia="Times New Roman" w:hAnsi="Calibri" w:cstheme="majorHAnsi"/>
          <w:color w:val="000000"/>
          <w:lang w:eastAsia="de-DE"/>
        </w:rPr>
        <w:t>government, governance and governmentality </w:t>
      </w:r>
    </w:p>
    <w:p w14:paraId="28E1F812" w14:textId="77777777" w:rsidR="006868E3" w:rsidRPr="00C31381" w:rsidRDefault="006868E3" w:rsidP="006E2D8E">
      <w:pPr>
        <w:pStyle w:val="Listenabsatz"/>
        <w:numPr>
          <w:ilvl w:val="0"/>
          <w:numId w:val="15"/>
        </w:numPr>
        <w:ind w:left="714" w:hanging="357"/>
        <w:jc w:val="both"/>
        <w:rPr>
          <w:rFonts w:ascii="Calibri" w:eastAsia="Times New Roman" w:hAnsi="Calibri" w:cstheme="majorHAnsi"/>
          <w:color w:val="000000"/>
        </w:rPr>
      </w:pPr>
      <w:r w:rsidRPr="00C31381">
        <w:rPr>
          <w:rFonts w:ascii="Calibri" w:eastAsia="Times New Roman" w:hAnsi="Calibri" w:cstheme="majorHAnsi"/>
          <w:color w:val="000000"/>
          <w:lang w:val="de-CH" w:eastAsia="de-DE"/>
        </w:rPr>
        <w:t>Selbstverwaltung (</w:t>
      </w:r>
      <w:r w:rsidRPr="006868E3">
        <w:rPr>
          <w:rFonts w:ascii="Calibri" w:eastAsia="Times New Roman" w:hAnsi="Calibri" w:cstheme="majorHAnsi"/>
          <w:color w:val="000000"/>
          <w:lang w:eastAsia="de-DE"/>
        </w:rPr>
        <w:t>Self-governance</w:t>
      </w:r>
      <w:r w:rsidRPr="00C31381">
        <w:rPr>
          <w:rFonts w:ascii="Calibri" w:eastAsia="Times New Roman" w:hAnsi="Calibri" w:cstheme="majorHAnsi"/>
          <w:color w:val="000000"/>
          <w:lang w:val="de-CH" w:eastAsia="de-DE"/>
        </w:rPr>
        <w:t>) um Probleme auf lokaler Ebene zu lösen</w:t>
      </w:r>
    </w:p>
    <w:p w14:paraId="1F4D5937" w14:textId="48305023" w:rsidR="00B34357" w:rsidRPr="00776E34" w:rsidRDefault="00776E34" w:rsidP="00B34357">
      <w:pPr>
        <w:pStyle w:val="berschrift3"/>
        <w:rPr>
          <w:lang w:val="en-US"/>
        </w:rPr>
      </w:pPr>
      <w:r w:rsidRPr="00776E34">
        <w:rPr>
          <w:lang w:val="en-US"/>
        </w:rPr>
        <w:t xml:space="preserve">Matching national forest policies and </w:t>
      </w:r>
      <w:r w:rsidR="005A61F7" w:rsidRPr="00776E34">
        <w:rPr>
          <w:lang w:val="en-US"/>
        </w:rPr>
        <w:t>management</w:t>
      </w:r>
      <w:r w:rsidRPr="00776E34">
        <w:rPr>
          <w:lang w:val="en-US"/>
        </w:rPr>
        <w:t xml:space="preserve"> practices for climate change adaptation in Burkina Faso and Ghana</w:t>
      </w:r>
      <w:r w:rsidR="00C01E64">
        <w:rPr>
          <w:lang w:val="en-US"/>
        </w:rPr>
        <w:fldChar w:fldCharType="begin" w:fldLock="1"/>
      </w:r>
      <w:r w:rsidR="00EB3E0D">
        <w:rPr>
          <w:lang w:val="en-US"/>
        </w:rPr>
        <w:instrText>ADDIN CSL_CITATION {"citationItems":[{"id":"ITEM-1","itemData":{"DOI":"10.1007/s11027-008-9155-4","ISSN":"13812386","abstract":"Many studies have suggested various kinds of forest policies, management planning and practices to help forests adapt to climate change. These recommendations are often generic, based mostly on case studies from temperate countries and rarely from Africa. We argue that policy and management recommendations aimed at integrating adaptation into national forest policies and practices in Africa should start with an inventory and careful examination of existing policies and practices in order to understand the nature and extent of intervention required to influence the adaptation of forest ecosystems to climate change. This paper aims to contribute to closing this gap in knowledge detrimental to decision making through the review and analysis of current forest policies and practices in Burkina Faso and Ghana and highlighting elements that have the potential to influence the adaptation of forest ecosystems to climate change. The analysis revealed that adaptation (and mitigation) are not part of current forest policies in Burkina Faso and Ghana, but instead policies contain elements of risk management practices which are also relevant to the adaptation of forest ecosystems. Some of these elements are found in policies on the management of forest fires, forest genetic resources, non-timber resources, tree regeneration and silvicultural practices. To facilitate and enhance the management of these elements, a number of recommendations are suggested. Their implementation will require experienced and well-trained forestry personnel, financial resources, socio-cultural and political dimensions, and the political will of decision makers to act appropriately by formulating necessary policies and mainstreaming adaptation into forest policy and management planning. © 2008 The Author(s).","author":[{"dropping-particle":"","family":"Kalame","given":"Fobissie B.","non-dropping-particle":"","parse-names":false,"suffix":""},{"dropping-particle":"","family":"Nkem","given":"Johnson","non-dropping-particle":"","parse-names":false,"suffix":""},{"dropping-particle":"","family":"Idinoba","given":"Monica","non-dropping-particle":"","parse-names":false,"suffix":""},{"dropping-particle":"","family":"Kanninen","given":"Markku","non-dropping-particle":"","parse-names":false,"suffix":""}],"container-title":"Mitigation and Adaptation Strategies for Global Change","id":"ITEM-1","issued":{"date-parts":[["2009"]]},"title":"Matching national forest policies and management practices for climate change adaptation in Burkina Faso and Ghana","type":"article-journal"},"uris":["http://www.mendeley.com/documents/?uuid=75e2181d-5841-4273-b5b7-19bfe2c70b60"]}],"mendeley":{"formattedCitation":"&lt;sup&gt;15&lt;/sup&gt;","plainTextFormattedCitation":"15","previouslyFormattedCitation":"&lt;sup&gt;15&lt;/sup&gt;"},"properties":{"noteIndex":0},"schema":"https://github.com/citation-style-language/schema/raw/master/csl-citation.json"}</w:instrText>
      </w:r>
      <w:r w:rsidR="00C01E64">
        <w:rPr>
          <w:lang w:val="en-US"/>
        </w:rPr>
        <w:fldChar w:fldCharType="separate"/>
      </w:r>
      <w:r w:rsidR="00EB3E0D" w:rsidRPr="00EB3E0D">
        <w:rPr>
          <w:noProof/>
          <w:vertAlign w:val="superscript"/>
          <w:lang w:val="en-US"/>
        </w:rPr>
        <w:t>15</w:t>
      </w:r>
      <w:r w:rsidR="00C01E64">
        <w:rPr>
          <w:lang w:val="en-US"/>
        </w:rPr>
        <w:fldChar w:fldCharType="end"/>
      </w:r>
    </w:p>
    <w:p w14:paraId="241143B8" w14:textId="77777777" w:rsidR="0035337B" w:rsidRPr="0035337B" w:rsidRDefault="0035337B" w:rsidP="0035337B">
      <w:pPr>
        <w:pStyle w:val="Listenabsatz"/>
        <w:numPr>
          <w:ilvl w:val="0"/>
          <w:numId w:val="16"/>
        </w:numPr>
        <w:ind w:left="714" w:hanging="357"/>
        <w:jc w:val="both"/>
        <w:rPr>
          <w:rFonts w:eastAsia="Times New Roman" w:cstheme="majorHAnsi"/>
          <w:lang w:val="de-CH" w:eastAsia="de-DE"/>
        </w:rPr>
      </w:pPr>
      <w:proofErr w:type="spellStart"/>
      <w:r w:rsidRPr="0035337B">
        <w:rPr>
          <w:rFonts w:eastAsia="Times New Roman" w:cstheme="majorHAnsi"/>
          <w:color w:val="000000"/>
          <w:lang w:val="de-CH" w:eastAsia="de-DE"/>
        </w:rPr>
        <w:t>Policies</w:t>
      </w:r>
      <w:proofErr w:type="spellEnd"/>
      <w:r w:rsidRPr="0035337B">
        <w:rPr>
          <w:rFonts w:eastAsia="Times New Roman" w:cstheme="majorHAnsi"/>
          <w:color w:val="000000"/>
          <w:lang w:val="de-CH" w:eastAsia="de-DE"/>
        </w:rPr>
        <w:t xml:space="preserve"> </w:t>
      </w:r>
      <w:proofErr w:type="gramStart"/>
      <w:r w:rsidRPr="0035337B">
        <w:rPr>
          <w:rFonts w:eastAsia="Times New Roman" w:cstheme="majorHAnsi"/>
          <w:color w:val="000000"/>
          <w:lang w:val="de-CH" w:eastAsia="de-DE"/>
        </w:rPr>
        <w:t>existieren</w:t>
      </w:r>
      <w:proofErr w:type="gramEnd"/>
      <w:r w:rsidRPr="0035337B">
        <w:rPr>
          <w:rFonts w:eastAsia="Times New Roman" w:cstheme="majorHAnsi"/>
          <w:color w:val="000000"/>
          <w:lang w:val="de-CH" w:eastAsia="de-DE"/>
        </w:rPr>
        <w:t xml:space="preserve"> aber es fehlt an Durchsetzung </w:t>
      </w:r>
    </w:p>
    <w:p w14:paraId="455FC15C" w14:textId="77777777" w:rsidR="0035337B" w:rsidRPr="0035337B" w:rsidRDefault="0035337B" w:rsidP="0035337B">
      <w:pPr>
        <w:pStyle w:val="Listenabsatz"/>
        <w:numPr>
          <w:ilvl w:val="0"/>
          <w:numId w:val="16"/>
        </w:numPr>
        <w:ind w:left="714" w:hanging="357"/>
        <w:jc w:val="both"/>
        <w:rPr>
          <w:rFonts w:eastAsia="Times New Roman" w:cstheme="majorHAnsi"/>
          <w:lang w:val="de-CH" w:eastAsia="de-DE"/>
        </w:rPr>
      </w:pPr>
      <w:r w:rsidRPr="0035337B">
        <w:rPr>
          <w:rFonts w:eastAsia="Times New Roman" w:cstheme="majorHAnsi"/>
          <w:color w:val="000000"/>
          <w:lang w:val="de-CH" w:eastAsia="de-DE"/>
        </w:rPr>
        <w:t xml:space="preserve">Klimawandel wird eine zusätzliche Belastung, und muss in die bestehenden </w:t>
      </w:r>
      <w:proofErr w:type="spellStart"/>
      <w:r w:rsidRPr="0035337B">
        <w:rPr>
          <w:rFonts w:eastAsia="Times New Roman" w:cstheme="majorHAnsi"/>
          <w:color w:val="000000"/>
          <w:lang w:val="de-CH" w:eastAsia="de-DE"/>
        </w:rPr>
        <w:t>Policies</w:t>
      </w:r>
      <w:proofErr w:type="spellEnd"/>
      <w:r w:rsidRPr="0035337B">
        <w:rPr>
          <w:rFonts w:eastAsia="Times New Roman" w:cstheme="majorHAnsi"/>
          <w:color w:val="000000"/>
          <w:lang w:val="de-CH" w:eastAsia="de-DE"/>
        </w:rPr>
        <w:t xml:space="preserve"> integriert werden </w:t>
      </w:r>
    </w:p>
    <w:p w14:paraId="0589C642" w14:textId="77777777" w:rsidR="0035337B" w:rsidRPr="0035337B" w:rsidRDefault="0035337B" w:rsidP="0035337B">
      <w:pPr>
        <w:pStyle w:val="Listenabsatz"/>
        <w:numPr>
          <w:ilvl w:val="0"/>
          <w:numId w:val="16"/>
        </w:numPr>
        <w:ind w:left="714" w:hanging="357"/>
        <w:jc w:val="both"/>
        <w:rPr>
          <w:rFonts w:eastAsia="Times New Roman" w:cstheme="majorHAnsi"/>
          <w:lang w:val="de-CH" w:eastAsia="de-DE"/>
        </w:rPr>
      </w:pPr>
      <w:r w:rsidRPr="0035337B">
        <w:rPr>
          <w:rFonts w:eastAsia="Times New Roman" w:cstheme="majorHAnsi"/>
          <w:color w:val="000000"/>
          <w:lang w:val="de-CH" w:eastAsia="de-DE"/>
        </w:rPr>
        <w:t xml:space="preserve">Geht darauf ein wie und ob </w:t>
      </w:r>
      <w:proofErr w:type="spellStart"/>
      <w:r w:rsidRPr="0035337B">
        <w:rPr>
          <w:rFonts w:eastAsia="Times New Roman" w:cstheme="majorHAnsi"/>
          <w:color w:val="000000"/>
          <w:lang w:val="de-CH" w:eastAsia="de-DE"/>
        </w:rPr>
        <w:t>Policies</w:t>
      </w:r>
      <w:proofErr w:type="spellEnd"/>
      <w:r w:rsidRPr="0035337B">
        <w:rPr>
          <w:rFonts w:eastAsia="Times New Roman" w:cstheme="majorHAnsi"/>
          <w:color w:val="000000"/>
          <w:lang w:val="de-CH" w:eastAsia="de-DE"/>
        </w:rPr>
        <w:t xml:space="preserve"> zu den Adaptionsmöglichkeiten von: Waldschutz, Waldregeneration, Waldbaumanagement usw. existieren</w:t>
      </w:r>
    </w:p>
    <w:p w14:paraId="23CD1E38" w14:textId="459E37D7" w:rsidR="00B34357" w:rsidRPr="00C3283B" w:rsidRDefault="00776E34" w:rsidP="00B34357">
      <w:pPr>
        <w:pStyle w:val="berschrift3"/>
        <w:rPr>
          <w:lang w:val="en-US"/>
        </w:rPr>
      </w:pPr>
      <w:r w:rsidRPr="00C3283B">
        <w:rPr>
          <w:lang w:val="en-US"/>
        </w:rPr>
        <w:t xml:space="preserve">Partnerships </w:t>
      </w:r>
      <w:r w:rsidR="00C3283B" w:rsidRPr="00C3283B">
        <w:rPr>
          <w:lang w:val="en-US"/>
        </w:rPr>
        <w:t>in forest governance</w:t>
      </w:r>
      <w:r w:rsidR="00C01E64">
        <w:rPr>
          <w:lang w:val="en-US"/>
        </w:rPr>
        <w:fldChar w:fldCharType="begin" w:fldLock="1"/>
      </w:r>
      <w:r w:rsidR="00EB3E0D">
        <w:rPr>
          <w:lang w:val="en-US"/>
        </w:rPr>
        <w:instrText>ADDIN CSL_CITATION {"citationItems":[{"id":"ITEM-1","itemData":{"DOI":"10.1016/j.gloenvcha.2006.11.003","ISSN":"09593780","abstract":"One of the major current global environmental challenges is the conservation of forest biodiversity. Deforestation and forest degradation continue despite international governmental agreements on forest conservation. In recent years private regulation in the international forest governance system has increased. Numerous partnerships between governments, business and/or civil society have been developed. Most of them focus on a single threat to forest biodiversity. This private regulation has had a limited positive impact. The most valuable contribution has been filling the gap of lack of implementation by governments. The forest governance system can become more effective if metagovernance is strengthened. © 2006 Elsevier Ltd. All rights reserved.","author":[{"dropping-particle":"","family":"Visseren-Hamakers","given":"Ingrid J.","non-dropping-particle":"","parse-names":false,"suffix":""},{"dropping-particle":"","family":"Glasbergen","given":"Pieter","non-dropping-particle":"","parse-names":false,"suffix":""}],"container-title":"Global Environmental Change","id":"ITEM-1","issued":{"date-parts":[["2007"]]},"title":"Partnerships in forest governance","type":"article-journal"},"uris":["http://www.mendeley.com/documents/?uuid=56ab0ffd-56c6-4359-bfd0-23df80f657b1"]}],"mendeley":{"formattedCitation":"&lt;sup&gt;16&lt;/sup&gt;","plainTextFormattedCitation":"16","previouslyFormattedCitation":"&lt;sup&gt;16&lt;/sup&gt;"},"properties":{"noteIndex":0},"schema":"https://github.com/citation-style-language/schema/raw/master/csl-citation.json"}</w:instrText>
      </w:r>
      <w:r w:rsidR="00C01E64">
        <w:rPr>
          <w:lang w:val="en-US"/>
        </w:rPr>
        <w:fldChar w:fldCharType="separate"/>
      </w:r>
      <w:r w:rsidR="00EB3E0D" w:rsidRPr="00EB3E0D">
        <w:rPr>
          <w:noProof/>
          <w:vertAlign w:val="superscript"/>
          <w:lang w:val="en-US"/>
        </w:rPr>
        <w:t>16</w:t>
      </w:r>
      <w:r w:rsidR="00C01E64">
        <w:rPr>
          <w:lang w:val="en-US"/>
        </w:rPr>
        <w:fldChar w:fldCharType="end"/>
      </w:r>
    </w:p>
    <w:p w14:paraId="1736B606" w14:textId="23651FAA" w:rsidR="006868E3" w:rsidRPr="006868E3" w:rsidRDefault="006868E3" w:rsidP="006E2D8E">
      <w:pPr>
        <w:pStyle w:val="Listenabsatz"/>
        <w:numPr>
          <w:ilvl w:val="0"/>
          <w:numId w:val="17"/>
        </w:numPr>
        <w:ind w:left="714" w:hanging="357"/>
        <w:jc w:val="both"/>
        <w:rPr>
          <w:rFonts w:ascii="Calibri" w:eastAsia="Times New Roman" w:hAnsi="Calibri" w:cstheme="majorHAnsi"/>
          <w:color w:val="000000"/>
          <w:lang w:val="de-CH" w:eastAsia="de-DE"/>
        </w:rPr>
      </w:pPr>
      <w:r w:rsidRPr="00625BB8">
        <w:rPr>
          <w:rFonts w:ascii="Calibri" w:eastAsia="Times New Roman" w:hAnsi="Calibri" w:cstheme="majorHAnsi"/>
          <w:color w:val="000000"/>
          <w:lang w:val="de-CH" w:eastAsia="de-DE"/>
        </w:rPr>
        <w:t xml:space="preserve">Staatliche Regulation und </w:t>
      </w:r>
      <w:proofErr w:type="spellStart"/>
      <w:r w:rsidRPr="00625BB8">
        <w:rPr>
          <w:rFonts w:ascii="Calibri" w:eastAsia="Times New Roman" w:hAnsi="Calibri" w:cstheme="majorHAnsi"/>
          <w:color w:val="000000"/>
          <w:lang w:val="de-CH" w:eastAsia="de-DE"/>
        </w:rPr>
        <w:t>Policies</w:t>
      </w:r>
      <w:proofErr w:type="spellEnd"/>
      <w:r w:rsidRPr="00625BB8">
        <w:rPr>
          <w:rFonts w:ascii="Calibri" w:eastAsia="Times New Roman" w:hAnsi="Calibri" w:cstheme="majorHAnsi"/>
          <w:color w:val="000000"/>
          <w:lang w:val="de-CH" w:eastAsia="de-DE"/>
        </w:rPr>
        <w:t xml:space="preserve"> existieren, nur ihre Umsetzung ist das Problem</w:t>
      </w:r>
    </w:p>
    <w:p w14:paraId="5F2A76A7" w14:textId="268E11AA" w:rsidR="006868E3" w:rsidRPr="006868E3" w:rsidRDefault="006868E3" w:rsidP="006E2D8E">
      <w:pPr>
        <w:pStyle w:val="Listenabsatz"/>
        <w:numPr>
          <w:ilvl w:val="0"/>
          <w:numId w:val="17"/>
        </w:numPr>
        <w:ind w:left="714" w:hanging="357"/>
        <w:jc w:val="both"/>
        <w:rPr>
          <w:rFonts w:ascii="Calibri" w:eastAsia="Times New Roman" w:hAnsi="Calibri" w:cstheme="majorHAnsi"/>
          <w:color w:val="000000"/>
          <w:lang w:val="de-CH" w:eastAsia="de-DE"/>
        </w:rPr>
      </w:pPr>
      <w:r w:rsidRPr="00625BB8">
        <w:rPr>
          <w:rFonts w:ascii="Calibri" w:eastAsia="Times New Roman" w:hAnsi="Calibri" w:cstheme="majorHAnsi"/>
          <w:color w:val="000000"/>
          <w:lang w:val="de-CH" w:eastAsia="de-DE"/>
        </w:rPr>
        <w:t xml:space="preserve">Staatliche monozentrische Struktur im Umschwung zu multizentrischer Struktur durch gewisse Partnerschaften </w:t>
      </w:r>
      <w:r w:rsidRPr="00625BB8">
        <w:rPr>
          <w:rFonts w:ascii="Calibri" w:eastAsia="Times New Roman" w:hAnsi="Calibri" w:cstheme="majorHAnsi"/>
          <w:color w:val="000000"/>
          <w:lang w:val="de-CH" w:eastAsia="de-DE"/>
        </w:rPr>
        <w:sym w:font="Wingdings" w:char="F0E0"/>
      </w:r>
      <w:r w:rsidRPr="00625BB8">
        <w:rPr>
          <w:rFonts w:ascii="Calibri" w:eastAsia="Times New Roman" w:hAnsi="Calibri" w:cstheme="majorHAnsi"/>
          <w:color w:val="000000"/>
          <w:lang w:val="de-CH" w:eastAsia="de-DE"/>
        </w:rPr>
        <w:t xml:space="preserve"> Beispiel MTCC</w:t>
      </w:r>
    </w:p>
    <w:p w14:paraId="7B16E026" w14:textId="77777777" w:rsidR="006868E3" w:rsidRDefault="006868E3" w:rsidP="006E2D8E">
      <w:pPr>
        <w:pStyle w:val="Listenabsatz"/>
        <w:numPr>
          <w:ilvl w:val="0"/>
          <w:numId w:val="17"/>
        </w:numPr>
        <w:ind w:left="714" w:hanging="357"/>
        <w:jc w:val="both"/>
        <w:rPr>
          <w:rFonts w:ascii="Calibri" w:eastAsia="Times New Roman" w:hAnsi="Calibri" w:cstheme="majorHAnsi"/>
          <w:color w:val="000000"/>
          <w:lang w:val="de-CH" w:eastAsia="de-DE"/>
        </w:rPr>
      </w:pPr>
      <w:r w:rsidRPr="00625BB8">
        <w:rPr>
          <w:rFonts w:ascii="Calibri" w:eastAsia="Times New Roman" w:hAnsi="Calibri" w:cstheme="majorHAnsi"/>
          <w:color w:val="000000"/>
          <w:lang w:val="de-CH" w:eastAsia="de-DE"/>
        </w:rPr>
        <w:t xml:space="preserve">Der Staat kann </w:t>
      </w:r>
      <w:proofErr w:type="spellStart"/>
      <w:r w:rsidRPr="00625BB8">
        <w:rPr>
          <w:rFonts w:ascii="Calibri" w:eastAsia="Times New Roman" w:hAnsi="Calibri" w:cstheme="majorHAnsi"/>
          <w:color w:val="000000"/>
          <w:lang w:val="de-CH" w:eastAsia="de-DE"/>
        </w:rPr>
        <w:t>Policies</w:t>
      </w:r>
      <w:proofErr w:type="spellEnd"/>
      <w:r w:rsidRPr="00625BB8">
        <w:rPr>
          <w:rFonts w:ascii="Calibri" w:eastAsia="Times New Roman" w:hAnsi="Calibri" w:cstheme="majorHAnsi"/>
          <w:color w:val="000000"/>
          <w:lang w:val="de-CH" w:eastAsia="de-DE"/>
        </w:rPr>
        <w:t xml:space="preserve"> übernehmen, welche durch Partnerschaften entstanden sind</w:t>
      </w:r>
    </w:p>
    <w:p w14:paraId="0494035F" w14:textId="08AAB7C2" w:rsidR="00B34357" w:rsidRPr="00C3283B" w:rsidRDefault="00C01E64" w:rsidP="00B34357">
      <w:pPr>
        <w:pStyle w:val="berschrift3"/>
        <w:rPr>
          <w:lang w:val="en-US"/>
        </w:rPr>
      </w:pPr>
      <w:r>
        <w:rPr>
          <w:lang w:val="en-US"/>
        </w:rPr>
        <w:t xml:space="preserve">Forests and climate change in </w:t>
      </w:r>
      <w:proofErr w:type="spellStart"/>
      <w:r>
        <w:rPr>
          <w:lang w:val="en-US"/>
        </w:rPr>
        <w:t>l</w:t>
      </w:r>
      <w:r w:rsidR="00C3283B" w:rsidRPr="00C3283B">
        <w:rPr>
          <w:lang w:val="en-US"/>
        </w:rPr>
        <w:t>atin</w:t>
      </w:r>
      <w:proofErr w:type="spellEnd"/>
      <w:r w:rsidR="00C3283B" w:rsidRPr="00C3283B">
        <w:rPr>
          <w:lang w:val="en-US"/>
        </w:rPr>
        <w:t xml:space="preserve"> America: Linking adaptation and mitigation</w:t>
      </w:r>
      <w:r>
        <w:rPr>
          <w:lang w:val="en-US"/>
        </w:rPr>
        <w:fldChar w:fldCharType="begin" w:fldLock="1"/>
      </w:r>
      <w:r w:rsidR="0090638A">
        <w:rPr>
          <w:lang w:val="en-US"/>
        </w:rPr>
        <w:instrText>ADDIN CSL_CITATION {"citationItems":[{"id":"ITEM-1","itemData":{"DOI":"10.3390/f2010431","ISSN":"19994907","abstract":"Climate change can be addressed by mitigation (reducing the sources or enhancing the sinks of greenhouse gases) and adaptation (reducing the impacts of climate change). Mitigation and adaptation present two fundamentally dissimilar approaches whose differences are now well documented. Forest ecosystems play an important role in both adaptation and mitigation and there is a need to explore the linkages between these two options in order to understand their trade-offs and synergies. In forests, potential trade-offs can be observed between global ecosystem services, such as the carbon sequestration relevant for mitigation, and the local ecosystem services that are relevant for adaptation. In addition, mitigation projects can facilitate or hinder the adaptation of local people to climate change, whereas adaptation projects can affect ecosystems and their potential to sequester carbon. Linkages between adaptation and mitigation can also be observed in policies, but few climate change or forest policies have addressed these linkages in the forestry sector. This paper presents examples of linkages between adaptation and mitigation in Latin American forests. Through case studies, we investigate the approaches and reasons for integrating adaptation into mitigation projects or mitigation into adaptation projects. We also analyze the opportunities for mainstreaming adaptation-mitigation linkages into forest or climate change policies. © 2011 by the authors; licensee MDPI, Basel, Switzerland.","author":[{"dropping-particle":"","family":"Locatelli","given":"Bruno","non-dropping-particle":"","parse-names":false,"suffix":""},{"dropping-particle":"","family":"Evans","given":"Vanessa","non-dropping-particle":"","parse-names":false,"suffix":""},{"dropping-particle":"","family":"Wardell","given":"Andrew","non-dropping-particle":"","parse-names":false,"suffix":""},{"dropping-particle":"","family":"Andrade","given":"Angela","non-dropping-particle":"","parse-names":false,"suffix":""},{"dropping-particle":"","family":"Vignola","given":"Raffaele","non-dropping-particle":"","parse-names":false,"suffix":""}],"container-title":"Forests","id":"ITEM-1","issued":{"date-parts":[["2011"]]},"note":"Specifically Latin america, but it links adaptation, mitigation and climate policies into one paper.","title":"Forests and climate change in latin America: Linking adaptation and mitigation","type":"article-journal"},"uris":["http://www.mendeley.com/documents/?uuid=450a2b12-3a49-4cd9-9335-ec95ce8cf0b8"]}],"mendeley":{"formattedCitation":"&lt;sup&gt;24&lt;/sup&gt;","plainTextFormattedCitation":"24","previouslyFormattedCitation":"&lt;sup&gt;24&lt;/sup&gt;"},"properties":{"noteIndex":0},"schema":"https://github.com/citation-style-language/schema/raw/master/csl-citation.json"}</w:instrText>
      </w:r>
      <w:r>
        <w:rPr>
          <w:lang w:val="en-US"/>
        </w:rPr>
        <w:fldChar w:fldCharType="separate"/>
      </w:r>
      <w:r w:rsidR="0090638A" w:rsidRPr="0090638A">
        <w:rPr>
          <w:noProof/>
          <w:vertAlign w:val="superscript"/>
          <w:lang w:val="en-US"/>
        </w:rPr>
        <w:t>24</w:t>
      </w:r>
      <w:r>
        <w:rPr>
          <w:lang w:val="en-US"/>
        </w:rPr>
        <w:fldChar w:fldCharType="end"/>
      </w:r>
    </w:p>
    <w:p w14:paraId="1FACEF24" w14:textId="7956DDC5" w:rsidR="006868E3" w:rsidRPr="006868E3" w:rsidRDefault="006868E3" w:rsidP="006E2D8E">
      <w:pPr>
        <w:pStyle w:val="Listenabsatz"/>
        <w:numPr>
          <w:ilvl w:val="0"/>
          <w:numId w:val="18"/>
        </w:numPr>
        <w:ind w:left="714" w:hanging="357"/>
        <w:jc w:val="both"/>
        <w:rPr>
          <w:rFonts w:ascii="Calibri" w:eastAsia="Times New Roman" w:hAnsi="Calibri" w:cstheme="majorHAnsi"/>
          <w:lang w:val="de-CH" w:eastAsia="de-DE"/>
        </w:rPr>
      </w:pPr>
      <w:r w:rsidRPr="006868E3">
        <w:rPr>
          <w:rFonts w:ascii="Calibri" w:eastAsia="Times New Roman" w:hAnsi="Calibri" w:cstheme="majorHAnsi"/>
          <w:color w:val="000000"/>
          <w:lang w:eastAsia="de-DE"/>
        </w:rPr>
        <w:t>Mitigation</w:t>
      </w:r>
      <w:r w:rsidRPr="00625BB8">
        <w:rPr>
          <w:rFonts w:ascii="Calibri" w:eastAsia="Times New Roman" w:hAnsi="Calibri" w:cstheme="majorHAnsi"/>
          <w:color w:val="000000"/>
          <w:lang w:val="de-CH" w:eastAsia="de-DE"/>
        </w:rPr>
        <w:t xml:space="preserve"> und Adaption zum Schutz des Waldes durch den Klimawandel</w:t>
      </w:r>
    </w:p>
    <w:p w14:paraId="7F6DB680" w14:textId="06EBE4C6" w:rsidR="006868E3" w:rsidRPr="006868E3" w:rsidRDefault="006868E3" w:rsidP="006E2D8E">
      <w:pPr>
        <w:pStyle w:val="Listenabsatz"/>
        <w:numPr>
          <w:ilvl w:val="0"/>
          <w:numId w:val="18"/>
        </w:numPr>
        <w:ind w:left="714" w:hanging="357"/>
        <w:jc w:val="both"/>
        <w:rPr>
          <w:rFonts w:ascii="Calibri" w:eastAsia="Times New Roman" w:hAnsi="Calibri" w:cstheme="majorHAnsi"/>
          <w:lang w:val="de-CH" w:eastAsia="de-DE"/>
        </w:rPr>
      </w:pPr>
      <w:r w:rsidRPr="00625BB8">
        <w:rPr>
          <w:rFonts w:ascii="Calibri" w:eastAsia="Times New Roman" w:hAnsi="Calibri" w:cstheme="majorHAnsi"/>
          <w:color w:val="000000"/>
          <w:lang w:val="de-CH" w:eastAsia="de-DE"/>
        </w:rPr>
        <w:t xml:space="preserve">Bis heute </w:t>
      </w:r>
      <w:r w:rsidRPr="006868E3">
        <w:rPr>
          <w:rFonts w:ascii="Calibri" w:eastAsia="Times New Roman" w:hAnsi="Calibri" w:cstheme="majorHAnsi"/>
          <w:color w:val="000000"/>
          <w:lang w:eastAsia="de-DE"/>
        </w:rPr>
        <w:t>Policies</w:t>
      </w:r>
      <w:r w:rsidRPr="00625BB8">
        <w:rPr>
          <w:rFonts w:ascii="Calibri" w:eastAsia="Times New Roman" w:hAnsi="Calibri" w:cstheme="majorHAnsi"/>
          <w:color w:val="000000"/>
          <w:lang w:val="de-CH" w:eastAsia="de-DE"/>
        </w:rPr>
        <w:t xml:space="preserve"> meistens auf </w:t>
      </w:r>
      <w:r w:rsidRPr="006868E3">
        <w:rPr>
          <w:rFonts w:ascii="Calibri" w:eastAsia="Times New Roman" w:hAnsi="Calibri" w:cstheme="majorHAnsi"/>
          <w:color w:val="000000"/>
          <w:lang w:eastAsia="de-DE"/>
        </w:rPr>
        <w:t>Mitigation</w:t>
      </w:r>
      <w:r w:rsidRPr="00625BB8">
        <w:rPr>
          <w:rFonts w:ascii="Calibri" w:eastAsia="Times New Roman" w:hAnsi="Calibri" w:cstheme="majorHAnsi"/>
          <w:color w:val="000000"/>
          <w:lang w:val="de-CH" w:eastAsia="de-DE"/>
        </w:rPr>
        <w:t xml:space="preserve"> fokussiert</w:t>
      </w:r>
    </w:p>
    <w:p w14:paraId="12E68A73" w14:textId="538EA2B5" w:rsidR="006868E3" w:rsidRPr="006868E3" w:rsidRDefault="006868E3" w:rsidP="006E2D8E">
      <w:pPr>
        <w:pStyle w:val="Listenabsatz"/>
        <w:numPr>
          <w:ilvl w:val="0"/>
          <w:numId w:val="18"/>
        </w:numPr>
        <w:ind w:left="714" w:hanging="357"/>
        <w:jc w:val="both"/>
        <w:rPr>
          <w:rFonts w:ascii="Calibri" w:eastAsia="Times New Roman" w:hAnsi="Calibri" w:cstheme="majorHAnsi"/>
          <w:lang w:val="de-CH" w:eastAsia="de-DE"/>
        </w:rPr>
      </w:pPr>
      <w:r w:rsidRPr="00625BB8">
        <w:rPr>
          <w:rFonts w:ascii="Calibri" w:eastAsia="Times New Roman" w:hAnsi="Calibri" w:cstheme="majorHAnsi"/>
          <w:color w:val="000000"/>
          <w:lang w:val="de-CH" w:eastAsia="de-DE"/>
        </w:rPr>
        <w:t xml:space="preserve">Es werden Internationale Abmachungen und Investierungen </w:t>
      </w:r>
      <w:proofErr w:type="gramStart"/>
      <w:r w:rsidRPr="00625BB8">
        <w:rPr>
          <w:rFonts w:ascii="Calibri" w:eastAsia="Times New Roman" w:hAnsi="Calibri" w:cstheme="majorHAnsi"/>
          <w:color w:val="000000"/>
          <w:lang w:val="de-CH" w:eastAsia="de-DE"/>
        </w:rPr>
        <w:t>gebraucht</w:t>
      </w:r>
      <w:proofErr w:type="gramEnd"/>
      <w:r w:rsidRPr="00625BB8">
        <w:rPr>
          <w:rFonts w:ascii="Calibri" w:eastAsia="Times New Roman" w:hAnsi="Calibri" w:cstheme="majorHAnsi"/>
          <w:color w:val="000000"/>
          <w:lang w:val="de-CH" w:eastAsia="de-DE"/>
        </w:rPr>
        <w:t xml:space="preserve"> um </w:t>
      </w:r>
      <w:r w:rsidRPr="006868E3">
        <w:rPr>
          <w:rFonts w:ascii="Calibri" w:eastAsia="Times New Roman" w:hAnsi="Calibri" w:cstheme="majorHAnsi"/>
          <w:color w:val="000000"/>
          <w:lang w:eastAsia="de-DE"/>
        </w:rPr>
        <w:t>Mitigation</w:t>
      </w:r>
      <w:r w:rsidRPr="00625BB8">
        <w:rPr>
          <w:rFonts w:ascii="Calibri" w:eastAsia="Times New Roman" w:hAnsi="Calibri" w:cstheme="majorHAnsi"/>
          <w:color w:val="000000"/>
          <w:lang w:val="de-CH" w:eastAsia="de-DE"/>
        </w:rPr>
        <w:t xml:space="preserve"> voranzutreiben </w:t>
      </w:r>
    </w:p>
    <w:p w14:paraId="6B02CC44" w14:textId="0EF98496" w:rsidR="00881F47" w:rsidRPr="006868E3" w:rsidRDefault="006868E3" w:rsidP="006E2D8E">
      <w:pPr>
        <w:pStyle w:val="Listenabsatz"/>
        <w:numPr>
          <w:ilvl w:val="0"/>
          <w:numId w:val="18"/>
        </w:numPr>
        <w:ind w:left="714" w:hanging="357"/>
        <w:jc w:val="both"/>
        <w:rPr>
          <w:rStyle w:val="berschrift1Zchn"/>
          <w:rFonts w:ascii="Calibri" w:eastAsia="Times New Roman" w:hAnsi="Calibri" w:cstheme="majorHAnsi"/>
          <w:color w:val="auto"/>
          <w:sz w:val="22"/>
          <w:szCs w:val="22"/>
          <w:lang w:val="de-CH" w:eastAsia="de-DE"/>
        </w:rPr>
      </w:pPr>
      <w:r w:rsidRPr="006868E3">
        <w:rPr>
          <w:rFonts w:ascii="Calibri" w:eastAsia="Times New Roman" w:hAnsi="Calibri" w:cstheme="majorHAnsi"/>
          <w:color w:val="000000"/>
          <w:lang w:eastAsia="de-DE"/>
        </w:rPr>
        <w:t>Mitigation</w:t>
      </w:r>
      <w:r w:rsidRPr="00625BB8">
        <w:rPr>
          <w:rFonts w:ascii="Calibri" w:eastAsia="Times New Roman" w:hAnsi="Calibri" w:cstheme="majorHAnsi"/>
          <w:color w:val="000000"/>
          <w:lang w:val="de-CH" w:eastAsia="de-DE"/>
        </w:rPr>
        <w:t>: internationale Politik, Adaption: lokale Politik</w:t>
      </w:r>
    </w:p>
    <w:p w14:paraId="1560251E" w14:textId="77777777" w:rsidR="006868E3" w:rsidRDefault="006868E3" w:rsidP="00B34357">
      <w:pPr>
        <w:pStyle w:val="StandardWeb"/>
        <w:spacing w:before="0" w:beforeAutospacing="0" w:after="160" w:afterAutospacing="0"/>
        <w:rPr>
          <w:rStyle w:val="berschrift1Zchn"/>
          <w:lang w:val="de-CH"/>
        </w:rPr>
      </w:pPr>
    </w:p>
    <w:p w14:paraId="5640AABE" w14:textId="77777777" w:rsidR="00B34357" w:rsidRPr="005A61F7" w:rsidRDefault="00B34357" w:rsidP="00B34357">
      <w:pPr>
        <w:pStyle w:val="StandardWeb"/>
        <w:spacing w:before="0" w:beforeAutospacing="0" w:after="160" w:afterAutospacing="0"/>
        <w:rPr>
          <w:color w:val="000000"/>
          <w:lang w:val="de-CH"/>
        </w:rPr>
      </w:pPr>
      <w:r w:rsidRPr="005A61F7">
        <w:rPr>
          <w:rStyle w:val="berschrift1Zchn"/>
          <w:lang w:val="de-CH"/>
        </w:rPr>
        <w:t xml:space="preserve">Rechercheaspekt C: </w:t>
      </w:r>
      <w:r w:rsidRPr="005A61F7">
        <w:rPr>
          <w:rFonts w:asciiTheme="majorHAnsi" w:hAnsiTheme="majorHAnsi" w:cs="Arial"/>
          <w:color w:val="2E74B5"/>
          <w:sz w:val="32"/>
          <w:szCs w:val="32"/>
          <w:lang w:val="de-CH"/>
        </w:rPr>
        <w:t>Zerstörung durch Feuer</w:t>
      </w:r>
    </w:p>
    <w:p w14:paraId="09E32114" w14:textId="77777777" w:rsidR="00B34357" w:rsidRPr="00D230CC" w:rsidRDefault="00B34357" w:rsidP="00B34357">
      <w:pPr>
        <w:rPr>
          <w:rStyle w:val="Hervorhebung"/>
        </w:rPr>
      </w:pPr>
      <w:r>
        <w:rPr>
          <w:rStyle w:val="Hervorhebung"/>
        </w:rPr>
        <w:t xml:space="preserve">Florian </w:t>
      </w:r>
      <w:proofErr w:type="spellStart"/>
      <w:r>
        <w:rPr>
          <w:rStyle w:val="Hervorhebung"/>
        </w:rPr>
        <w:t>Dolci</w:t>
      </w:r>
      <w:proofErr w:type="spellEnd"/>
    </w:p>
    <w:p w14:paraId="6978BEE0" w14:textId="2C190D6E" w:rsidR="00B34357" w:rsidRDefault="00B34357" w:rsidP="00B34357">
      <w:pPr>
        <w:pStyle w:val="berschrift2"/>
        <w:rPr>
          <w:sz w:val="22"/>
          <w:lang w:val="de-CH"/>
        </w:rPr>
      </w:pPr>
      <w:r>
        <w:rPr>
          <w:lang w:val="de-CH"/>
        </w:rPr>
        <w:t xml:space="preserve">Kurzzusammenfassung </w:t>
      </w:r>
    </w:p>
    <w:p w14:paraId="563BEBB5" w14:textId="0B9EDBC6" w:rsidR="006243A3" w:rsidRPr="00AD3CEF" w:rsidRDefault="006243A3" w:rsidP="00AD3CEF">
      <w:pPr>
        <w:jc w:val="both"/>
        <w:rPr>
          <w:rFonts w:eastAsia="Times New Roman" w:cs="Times New Roman"/>
          <w:lang w:val="de-CH"/>
        </w:rPr>
      </w:pPr>
      <w:r w:rsidRPr="006243A3">
        <w:rPr>
          <w:rFonts w:eastAsia="Times New Roman" w:cs="Times New Roman"/>
          <w:lang w:val="de-CH"/>
        </w:rPr>
        <w:t>Feuer ist und war schon immer ein wichtiger Faktor bei der Gestaltung der Ökosysteme der Wälder. Abhängig von seiner Intensität kann es mehr oder weniger wichtige Auswirkungen auf einen solchen Wald haben. Zunächst werden wir anhand eines Übersichtsartikels sehen, wie sich der Bode</w:t>
      </w:r>
      <w:r w:rsidR="00AD3CEF">
        <w:rPr>
          <w:rFonts w:eastAsia="Times New Roman" w:cs="Times New Roman"/>
          <w:lang w:val="de-CH"/>
        </w:rPr>
        <w:t>n nach einem Brand verändert</w:t>
      </w:r>
      <w:r w:rsidR="00AD3CEF">
        <w:rPr>
          <w:rFonts w:eastAsia="Times New Roman" w:cs="Times New Roman"/>
          <w:lang w:val="de-CH"/>
        </w:rPr>
        <w:fldChar w:fldCharType="begin" w:fldLock="1"/>
      </w:r>
      <w:r w:rsidR="0090638A">
        <w:rPr>
          <w:rFonts w:eastAsia="Times New Roman" w:cs="Times New Roman"/>
          <w:lang w:val="de-CH"/>
        </w:rPr>
        <w:instrText>ADDIN CSL_CITATION {"citationItems":[{"id":"ITEM-1","itemData":{"DOI":"10.1007/s00442-004-1788-8","ISSN":"00298549","PMID":"15688212","abstract":"Many physical, chemical, mineralogical, and biological soil properties can be affected by forest fires. The effects are chiefly a result of burn severity, which consists of peak temperatures and duration of the fire. Climate, vegetation, and topography of the burnt area control the resilience of the soil system; some fire-induced changes can even be permanent. Low to moderate severity fires, such as most of those prescribed in forest management, promote renovation of the dominant vegetation through elimination of undesired species and transient increase of pH and available nutrients. No irreversible ecosystem change occurs, but the enhancement of hydrophobicity can render the soil less able to soak up water and more prone to erosion. Severe fires, such as wildfires, generally have several negative effects on soil. They cause significant removal of organic matter, deterioration of both structure and porosity, considerable loss of nutrients through volatilisation, ash entrapment in smoke columns, leaching and erosion, and marked alteration of both quantity and specific composition of microbial and soil-dwelling invertebrate communities. However, despite common perceptions, if plants succeed in promptly recolonising the burnt area, the pre-fire level of most properties can be recovered and even enhanced. This work is a review of the up-to-date literature dealing with changes imposed by fires on properties of forest soils. Ecological implications of these changes are described. © Springer-Verlag 2005.","author":[{"dropping-particle":"","family":"Certini","given":"Giacomo","non-dropping-particle":"","parse-names":false,"suffix":""}],"container-title":"Oecologia","id":"ITEM-1","issue":"1","issued":{"date-parts":[["2005","3"]]},"note":"- Kleine / mittlere Brände: Erneuerung der dominanten Vegetation  \n- Schwere Brände: mehrere negative Auswirkungen auf den Boden. \n\n\n- Vorbrandniveau der meisten Grundstücke kann wiederhergestellt und sogar verbessert werden, wenn es Pflanzen gelingt, den verbrannten Bereich unverzüglich neu zu besiedeln.","page":"1-10","title":"Effects of fire on properties of forest soils: A review","type":"article","volume":"143"},"uris":["http://www.mendeley.com/documents/?uuid=e92038ce-5e4d-3cb5-99b3-188e48b8c7ff"]}],"mendeley":{"formattedCitation":"&lt;sup&gt;25&lt;/sup&gt;","plainTextFormattedCitation":"25","previouslyFormattedCitation":"&lt;sup&gt;25&lt;/sup&gt;"},"properties":{"noteIndex":0},"schema":"https://github.com/citation-style-language/schema/raw/master/csl-citation.json"}</w:instrText>
      </w:r>
      <w:r w:rsidR="00AD3CEF">
        <w:rPr>
          <w:rFonts w:eastAsia="Times New Roman" w:cs="Times New Roman"/>
          <w:lang w:val="de-CH"/>
        </w:rPr>
        <w:fldChar w:fldCharType="separate"/>
      </w:r>
      <w:r w:rsidR="0090638A" w:rsidRPr="0090638A">
        <w:rPr>
          <w:rFonts w:eastAsia="Times New Roman" w:cs="Times New Roman"/>
          <w:noProof/>
          <w:vertAlign w:val="superscript"/>
          <w:lang w:val="de-CH"/>
        </w:rPr>
        <w:t>25</w:t>
      </w:r>
      <w:r w:rsidR="00AD3CEF">
        <w:rPr>
          <w:rFonts w:eastAsia="Times New Roman" w:cs="Times New Roman"/>
          <w:lang w:val="de-CH"/>
        </w:rPr>
        <w:fldChar w:fldCharType="end"/>
      </w:r>
      <w:r w:rsidR="00AD3CEF">
        <w:rPr>
          <w:rFonts w:eastAsia="Times New Roman" w:cs="Times New Roman"/>
          <w:lang w:val="de-CH"/>
        </w:rPr>
        <w:t>.</w:t>
      </w:r>
      <w:r w:rsidRPr="006243A3">
        <w:rPr>
          <w:rFonts w:eastAsia="Times New Roman" w:cs="Times New Roman"/>
          <w:lang w:val="de-CH"/>
        </w:rPr>
        <w:t xml:space="preserve"> Wir werden auch versuchen zu verstehen, wie sich das Feuer auf die Bäume auswirkt und wie sie sich erholen, indem wir zwei Artikel untersuchen, in denen zwei sehr unterschiedliche Ökosystemtypen untersucht werden</w:t>
      </w:r>
      <w:r w:rsidR="00AD3CEF">
        <w:rPr>
          <w:rFonts w:eastAsia="Times New Roman" w:cs="Times New Roman"/>
          <w:lang w:val="de-CH"/>
        </w:rPr>
        <w:fldChar w:fldCharType="begin" w:fldLock="1"/>
      </w:r>
      <w:r w:rsidR="0090638A">
        <w:rPr>
          <w:rFonts w:eastAsia="Times New Roman" w:cs="Times New Roman"/>
          <w:lang w:val="de-CH"/>
        </w:rPr>
        <w:instrText>ADDIN CSL_CITATION {"citationItems":[{"id":"ITEM-1","itemData":{"DOI":"10.1098/rstb.2007.0013","ISSN":"09628452","abstract":"The only fully coupled land-atmosphere global climate model predicts a widespread dieback of Amazonian forest cover through reduced precipitation. Although these predictions are controversial, the structural and compositional resilience of Amazonian forests may also have been overestimated, as current vegetation models fail to consider the potential role of fire in the degradation of forest ecosystems. We examine forest structure and composition in the Arapiuns River basin in the central Brazilian Amazon, evaluating post-fire forest recovery and the consequences of recurrent fires for the patterns of dominance of tree species. We surveyed tree plots in unburned and once-burned forests examined 1, 3 and 9 years after an unprecedented fire event, in twice-burned forests examined 3 and 9 years after fire and in thrice-burned forests examined 5 years after the most recent fire event. The number of trees recorded in unburned primary forest control plots was stable over time. However, in both once- and twice-burned forest plots, there was a marked recruitment into the 10-20cm diameter at breast height tree size classes between 3 and 9 years post-fire. Considering tree assemblage composition 9 years after the first fire contact, we observed (i) a clear pattern of community turnover among small trees and the most abundant shrubs and saplings, and (ii) that species that were common in any of the four burn treatments (unburned, once-, twice- and thrice-burned) were often rare or entirely absent in other burn treatments. We conclude that episodic wildfires can lead to drastic changes in forest structure and composition, with cascading shifts in forest composition following each additional fire event. Finally, we use these results to evaluate the validity of the savannization paradigm. © 2008 The Royal Society.","author":[{"dropping-particle":"","family":"Barlow","given":"Jos","non-dropping-particle":"","parse-names":false,"suffix":""},{"dropping-particle":"","family":"Peres","given":"Carlos A.","non-dropping-particle":"","parse-names":false,"suffix":""}],"container-title":"Philosophical Transactions of the Royal Society B: Biological Sciences","id":"ITEM-1","issue":"1498","issued":{"date-parts":[["2008","5","27"]]},"note":"- Untersuchung der Waldstruktur und -zusammensetzung nach Bränden. Bewertung der Erholung und der Folgen wiederkehrender Brände. \n\n- Waldbrände können zu wichtigen Veränderungen in der Waldstruktur und -zusammensetzung führen. \n\n\n- Savannisierungsparadigma","page":"1787-1794","publisher":"Royal Society","title":"Fire-mediated dieback and compositional cascade in an Amazonian forest","type":"paper-conference","volume":"363"},"uris":["http://www.mendeley.com/documents/?uuid=781a41f2-fd4c-32e3-8de3-f23a2d920a4a"]}],"mendeley":{"formattedCitation":"&lt;sup&gt;11&lt;/sup&gt;","plainTextFormattedCitation":"11","previouslyFormattedCitation":"&lt;sup&gt;11&lt;/sup&gt;"},"properties":{"noteIndex":0},"schema":"https://github.com/citation-style-language/schema/raw/master/csl-citation.json"}</w:instrText>
      </w:r>
      <w:r w:rsidR="00AD3CEF">
        <w:rPr>
          <w:rFonts w:eastAsia="Times New Roman" w:cs="Times New Roman"/>
          <w:lang w:val="de-CH"/>
        </w:rPr>
        <w:fldChar w:fldCharType="separate"/>
      </w:r>
      <w:r w:rsidR="007E6221" w:rsidRPr="007E6221">
        <w:rPr>
          <w:rFonts w:eastAsia="Times New Roman" w:cs="Times New Roman"/>
          <w:noProof/>
          <w:vertAlign w:val="superscript"/>
          <w:lang w:val="de-CH"/>
        </w:rPr>
        <w:t>11</w:t>
      </w:r>
      <w:r w:rsidR="00AD3CEF">
        <w:rPr>
          <w:rFonts w:eastAsia="Times New Roman" w:cs="Times New Roman"/>
          <w:lang w:val="de-CH"/>
        </w:rPr>
        <w:fldChar w:fldCharType="end"/>
      </w:r>
      <w:r w:rsidR="00AD3CEF">
        <w:rPr>
          <w:rFonts w:eastAsia="Times New Roman" w:cs="Times New Roman"/>
          <w:vertAlign w:val="superscript"/>
          <w:lang w:val="de-CH"/>
        </w:rPr>
        <w:t>,</w:t>
      </w:r>
      <w:r w:rsidR="00AD3CEF">
        <w:rPr>
          <w:rFonts w:eastAsia="Times New Roman" w:cs="Times New Roman"/>
          <w:vertAlign w:val="superscript"/>
          <w:lang w:val="de-CH"/>
        </w:rPr>
        <w:fldChar w:fldCharType="begin" w:fldLock="1"/>
      </w:r>
      <w:r w:rsidR="0090638A">
        <w:rPr>
          <w:rFonts w:eastAsia="Times New Roman" w:cs="Times New Roman"/>
          <w:vertAlign w:val="superscript"/>
          <w:lang w:val="de-CH"/>
        </w:rPr>
        <w:instrText>ADDIN CSL_CITATION {"citationItems":[{"id":"ITEM-1","itemData":{"DOI":"10.14214/sf.549","ISSN":"00375330","abstract":"In the European part of the Russian boreal zone the dynamics of pristine forests (taiga) has been studied by several generations of researchers. Many studies have examined the patterns and role of fire, windthrow, insect outbreaks and other natural disturbances. An attempt is made to provide a brief review of these studies. The reviewed studies show that lightning strikes were the only natural source of fires in taiga. The frequency of fires varied in various types of pristine landscape from 1-2 per century to 1-2 per millennium. Fires maintained a dynamic equilibrium between compositionally different forest communities or their certain ratio and areal occurrence. Fires favored the regeneration and recovery of pine forests and prevented the replacement of shade-intolerant species (e.g. pine) by shade-tolerant ones (e.g. spruce). Taiga forests generally displayed a mosaic pattern that varied from pioneer plant communities, growing in open burns, to climax communities that were extremely seldom affected by fire. The reviewed studies suggest that fires were a powerful ecological factor in pristine taiga, being largely responsible for the structure and spontaneous dynamics of forest communities. Windfalls were also common in pristine taiga landscapes and they regulated spontaneous dynamics in a gap-mosaic regime, which is most characteristic of spruce forests.","author":[{"dropping-particle":"","family":"Gromtsev","given":"Andrei","non-dropping-particle":"","parse-names":false,"suffix":""}],"container-title":"Silva Fennica","id":"ITEM-1","issue":"1","issued":{"date-parts":[["2002"]]},"note":"- Brände waren ein starker ökologischer Faktor in der unberührten Taiga und waren maßgeblich für die Struktur und die spontane Dynamik der Waldgemeinschaften verantwortlich. \n- Brände begünstigten die Regeneration und Erholung der Kiefernwälder. \n- Review-Artikel","page":"41-55","title":"Natural disturbance dynamics in the boreal forests of European Russia: A review","type":"paper-conference","volume":"36"},"uris":["http://www.mendeley.com/documents/?uuid=7ec2b102-44bf-3022-b673-bdafb6d0b337"]}],"mendeley":{"formattedCitation":"&lt;sup&gt;26&lt;/sup&gt;","plainTextFormattedCitation":"26","previouslyFormattedCitation":"&lt;sup&gt;26&lt;/sup&gt;"},"properties":{"noteIndex":0},"schema":"https://github.com/citation-style-language/schema/raw/master/csl-citation.json"}</w:instrText>
      </w:r>
      <w:r w:rsidR="00AD3CEF">
        <w:rPr>
          <w:rFonts w:eastAsia="Times New Roman" w:cs="Times New Roman"/>
          <w:vertAlign w:val="superscript"/>
          <w:lang w:val="de-CH"/>
        </w:rPr>
        <w:fldChar w:fldCharType="separate"/>
      </w:r>
      <w:r w:rsidR="0090638A" w:rsidRPr="0090638A">
        <w:rPr>
          <w:rFonts w:eastAsia="Times New Roman" w:cs="Times New Roman"/>
          <w:noProof/>
          <w:vertAlign w:val="superscript"/>
          <w:lang w:val="de-CH"/>
        </w:rPr>
        <w:t>26</w:t>
      </w:r>
      <w:r w:rsidR="00AD3CEF">
        <w:rPr>
          <w:rFonts w:eastAsia="Times New Roman" w:cs="Times New Roman"/>
          <w:vertAlign w:val="superscript"/>
          <w:lang w:val="de-CH"/>
        </w:rPr>
        <w:fldChar w:fldCharType="end"/>
      </w:r>
      <w:r w:rsidRPr="006243A3">
        <w:rPr>
          <w:rFonts w:eastAsia="Times New Roman" w:cs="Times New Roman"/>
          <w:lang w:val="de-CH"/>
        </w:rPr>
        <w:t>. Danach werden wir einen anderen Ansatz verfolgen und untersuchen, wie Nagetiere in Australien ihr Verhalten nach einem Brand anpassen und ändern</w:t>
      </w:r>
      <w:r w:rsidR="005A66EA">
        <w:rPr>
          <w:rFonts w:eastAsia="Times New Roman" w:cs="Times New Roman"/>
          <w:lang w:val="de-CH"/>
        </w:rPr>
        <w:fldChar w:fldCharType="begin" w:fldLock="1"/>
      </w:r>
      <w:r w:rsidR="0090638A">
        <w:rPr>
          <w:rFonts w:eastAsia="Times New Roman" w:cs="Times New Roman"/>
          <w:lang w:val="de-CH"/>
        </w:rPr>
        <w:instrText>ADDIN CSL_CITATION {"citationItems":[{"id":"ITEM-1","itemData":{"DOI":"10.1071/WR97045","ISSN":"10353712","abstract":"Possible impacts and mechanisms of response by Australian rodents to fire are identified and discussed in relation to the literature. Although there is considerable information on patterns of population response, there is little concerning the effect of fire on individual behaviour, mortality, or interactions at the community level. The evidence that links observed responses of rodents to habitat variables is largely correlative, and theories on mechanisms of recovery are often simplified or speculative. Experimental manipulations of resources, competitive interactions and predation rates are proposed as the best way to clarify which factors are most influential upon individuals, populations and communities in the post-fire environment.","author":[{"dropping-particle":"","family":"Sutherland","given":"Elizabeth F.","non-dropping-particle":"","parse-names":false,"suffix":""},{"dropping-particle":"","family":"Dickman","given":"Chris R.","non-dropping-particle":"","parse-names":false,"suffix":""}],"container-title":"Wildlife Research","id":"ITEM-1","issue":"4","issued":{"date-parts":[["1999"]]},"note":"Selected, because it covers another aspect of the forest: the animal world.\n\n\n\n- Komplexes Muster einzelner Arten, die auf verschiedene Weise auf Feuer reagieren. \n- Auswirkungen: verringerte Bevölkerungszahl, verringerte Ressourcenverfügbarkeit, verstärkter Kompetition, erhöhte Raubigkeit, usw. \n- Massnahmen: Einwanderung, Ernährungsumstellung, usw.","page":"405-419","publisher":"CSIRO","title":"Mechanisms of recovery after fire by rodents in the Australian environment: A review","type":"article-journal","volume":"26"},"uris":["http://www.mendeley.com/documents/?uuid=73b04abd-50ba-3195-9945-10fc108ec950"]}],"mendeley":{"formattedCitation":"&lt;sup&gt;27&lt;/sup&gt;","plainTextFormattedCitation":"27","previouslyFormattedCitation":"&lt;sup&gt;27&lt;/sup&gt;"},"properties":{"noteIndex":0},"schema":"https://github.com/citation-style-language/schema/raw/master/csl-citation.json"}</w:instrText>
      </w:r>
      <w:r w:rsidR="005A66EA">
        <w:rPr>
          <w:rFonts w:eastAsia="Times New Roman" w:cs="Times New Roman"/>
          <w:lang w:val="de-CH"/>
        </w:rPr>
        <w:fldChar w:fldCharType="separate"/>
      </w:r>
      <w:r w:rsidR="0090638A" w:rsidRPr="0090638A">
        <w:rPr>
          <w:rFonts w:eastAsia="Times New Roman" w:cs="Times New Roman"/>
          <w:noProof/>
          <w:vertAlign w:val="superscript"/>
          <w:lang w:val="de-CH"/>
        </w:rPr>
        <w:t>27</w:t>
      </w:r>
      <w:r w:rsidR="005A66EA">
        <w:rPr>
          <w:rFonts w:eastAsia="Times New Roman" w:cs="Times New Roman"/>
          <w:lang w:val="de-CH"/>
        </w:rPr>
        <w:fldChar w:fldCharType="end"/>
      </w:r>
      <w:r w:rsidRPr="006243A3">
        <w:rPr>
          <w:rFonts w:eastAsia="Times New Roman" w:cs="Times New Roman"/>
          <w:lang w:val="de-CH"/>
        </w:rPr>
        <w:t>. Am Ende werden wir all das relativieren und die Auswirkungen des Klimawandels auf die Widerstandsfähigkeit der Wälder nac</w:t>
      </w:r>
      <w:r w:rsidR="00266775">
        <w:rPr>
          <w:rFonts w:eastAsia="Times New Roman" w:cs="Times New Roman"/>
          <w:lang w:val="de-CH"/>
        </w:rPr>
        <w:t>h einem Lauffeuer betrachten</w:t>
      </w:r>
      <w:r w:rsidR="00266775">
        <w:rPr>
          <w:rFonts w:eastAsia="Times New Roman" w:cs="Times New Roman"/>
          <w:lang w:val="de-CH"/>
        </w:rPr>
        <w:fldChar w:fldCharType="begin" w:fldLock="1"/>
      </w:r>
      <w:r w:rsidR="00D337D8">
        <w:rPr>
          <w:rFonts w:eastAsia="Times New Roman" w:cs="Times New Roman"/>
          <w:lang w:val="de-CH"/>
        </w:rPr>
        <w:instrText>ADDIN CSL_CITATION {"citationItems":[{"id":"ITEM-1","itemData":{"DOI":"10.1111/ele.12889","ISSN":"14610248","abstract":"Forest resilience to climate change is a global concern given the potential effects of increased disturbance activity, warming temperatures and increased moisture stress on plants. We used a multi-regional dataset of 1485 sites across 52 wildfires from the US Rocky Mountains to ask if and how changing climate over the last several decades impacted post-fire tree regeneration, a key indicator of forest resilience. Results highlight significant decreases in tree regeneration in the 21st century. Annual moisture deficits were significantly greater from 2000 to 2015 as compared to 1985–1999, suggesting increasingly unfavourable post-fire growing conditions, corresponding to significantly lower seedling densities and increased regeneration failure. Dry forests that already occur at the edge of their climatic tolerance are most prone to conversion to non-forests after wildfires. Major climate-induced reduction in forest density and extent has important consequences for a myriad of ecosystem services now and in the future.","author":[{"dropping-particle":"","family":"Stevens-Rumann","given":"Camille S.","non-dropping-particle":"","parse-names":false,"suffix":""},{"dropping-particle":"","family":"Kemp","given":"Kerry B.","non-dropping-particle":"","parse-names":false,"suffix":""},{"dropping-particle":"","family":"Higuera","given":"Philip E.","non-dropping-particle":"","parse-names":false,"suffix":""},{"dropping-particle":"","family":"Harvey","given":"Brian J.","non-dropping-particle":"","parse-names":false,"suffix":""},{"dropping-particle":"","family":"Rother","given":"Monica T.","non-dropping-particle":"","parse-names":false,"suffix":""},{"dropping-particle":"","family":"Donato","given":"Daniel C.","non-dropping-particle":"","parse-names":false,"suffix":""},{"dropping-particle":"","family":"Morgan","given":"Penelope","non-dropping-particle":"","parse-names":false,"suffix":""},{"dropping-particle":"","family":"Veblen","given":"Thomas T.","non-dropping-particle":"","parse-names":false,"suffix":""}],"container-title":"Ecology Letters","id":"ITEM-1","issue":"2","issued":{"date-parts":[["2019","2","1"]]},"page":"243-252","publisher":"Blackwell Publishing Ltd","title":"Evidence for declining forest resilience to wildfires under climate change","type":"article","volume":"21"},"uris":["http://www.mendeley.com/documents/?uuid=448b0003-f863-3fed-91b4-4ec6d306b62c"]}],"mendeley":{"formattedCitation":"&lt;sup&gt;3&lt;/sup&gt;","plainTextFormattedCitation":"3","previouslyFormattedCitation":"&lt;sup&gt;3&lt;/sup&gt;"},"properties":{"noteIndex":0},"schema":"https://github.com/citation-style-language/schema/raw/master/csl-citation.json"}</w:instrText>
      </w:r>
      <w:r w:rsidR="00266775">
        <w:rPr>
          <w:rFonts w:eastAsia="Times New Roman" w:cs="Times New Roman"/>
          <w:lang w:val="de-CH"/>
        </w:rPr>
        <w:fldChar w:fldCharType="separate"/>
      </w:r>
      <w:r w:rsidR="007E6221" w:rsidRPr="007E6221">
        <w:rPr>
          <w:rFonts w:eastAsia="Times New Roman" w:cs="Times New Roman"/>
          <w:noProof/>
          <w:vertAlign w:val="superscript"/>
          <w:lang w:val="de-CH"/>
        </w:rPr>
        <w:t>3</w:t>
      </w:r>
      <w:r w:rsidR="00266775">
        <w:rPr>
          <w:rFonts w:eastAsia="Times New Roman" w:cs="Times New Roman"/>
          <w:lang w:val="de-CH"/>
        </w:rPr>
        <w:fldChar w:fldCharType="end"/>
      </w:r>
      <w:r w:rsidRPr="006243A3">
        <w:rPr>
          <w:rFonts w:eastAsia="Times New Roman" w:cs="Times New Roman"/>
          <w:lang w:val="de-CH"/>
        </w:rPr>
        <w:t>.</w:t>
      </w:r>
    </w:p>
    <w:p w14:paraId="5C32FDE6" w14:textId="6DD28B98" w:rsidR="00AD3CEF" w:rsidRPr="00266775" w:rsidRDefault="00AD3CEF" w:rsidP="00AD3CEF">
      <w:pPr>
        <w:pStyle w:val="berschrift3"/>
        <w:rPr>
          <w:lang w:val="en-US"/>
        </w:rPr>
      </w:pPr>
      <w:r w:rsidRPr="00266775">
        <w:rPr>
          <w:lang w:val="en-US"/>
        </w:rPr>
        <w:t>Effects of fire on properties of forest soils: A review</w:t>
      </w:r>
      <w:r w:rsidR="00C01E64">
        <w:rPr>
          <w:lang w:val="en-US"/>
        </w:rPr>
        <w:fldChar w:fldCharType="begin" w:fldLock="1"/>
      </w:r>
      <w:r w:rsidR="0090638A">
        <w:rPr>
          <w:lang w:val="en-US"/>
        </w:rPr>
        <w:instrText>ADDIN CSL_CITATION {"citationItems":[{"id":"ITEM-1","itemData":{"DOI":"10.1007/s00442-004-1788-8","ISSN":"00298549","PMID":"15688212","abstract":"Many physical, chemical, mineralogical, and biological soil properties can be affected by forest fires. The effects are chiefly a result of burn severity, which consists of peak temperatures and duration of the fire. Climate, vegetation, and topography of the burnt area control the resilience of the soil system; some fire-induced changes can even be permanent. Low to moderate severity fires, such as most of those prescribed in forest management, promote renovation of the dominant vegetation through elimination of undesired species and transient increase of pH and available nutrients. No irreversible ecosystem change occurs, but the enhancement of hydrophobicity can render the soil less able to soak up water and more prone to erosion. Severe fires, such as wildfires, generally have several negative effects on soil. They cause significant removal of organic matter, deterioration of both structure and porosity, considerable loss of nutrients through volatilisation, ash entrapment in smoke columns, leaching and erosion, and marked alteration of both quantity and specific composition of microbial and soil-dwelling invertebrate communities. However, despite common perceptions, if plants succeed in promptly recolonising the burnt area, the pre-fire level of most properties can be recovered and even enhanced. This work is a review of the up-to-date literature dealing with changes imposed by fires on properties of forest soils. Ecological implications of these changes are described. © Springer-Verlag 2005.","author":[{"dropping-particle":"","family":"Certini","given":"Giacomo","non-dropping-particle":"","parse-names":false,"suffix":""}],"container-title":"Oecologia","id":"ITEM-1","issue":"1","issued":{"date-parts":[["2005","3"]]},"note":"- Kleine / mittlere Brände: Erneuerung der dominanten Vegetation  \n- Schwere Brände: mehrere negative Auswirkungen auf den Boden. \n\n\n- Vorbrandniveau der meisten Grundstücke kann wiederhergestellt und sogar verbessert werden, wenn es Pflanzen gelingt, den verbrannten Bereich unverzüglich neu zu besiedeln.","page":"1-10","title":"Effects of fire on properties of forest soils: A review","type":"article","volume":"143"},"uris":["http://www.mendeley.com/documents/?uuid=e92038ce-5e4d-3cb5-99b3-188e48b8c7ff"]}],"mendeley":{"formattedCitation":"&lt;sup&gt;25&lt;/sup&gt;","plainTextFormattedCitation":"25","previouslyFormattedCitation":"&lt;sup&gt;25&lt;/sup&gt;"},"properties":{"noteIndex":0},"schema":"https://github.com/citation-style-language/schema/raw/master/csl-citation.json"}</w:instrText>
      </w:r>
      <w:r w:rsidR="00C01E64">
        <w:rPr>
          <w:lang w:val="en-US"/>
        </w:rPr>
        <w:fldChar w:fldCharType="separate"/>
      </w:r>
      <w:r w:rsidR="0090638A" w:rsidRPr="0090638A">
        <w:rPr>
          <w:noProof/>
          <w:vertAlign w:val="superscript"/>
          <w:lang w:val="en-US"/>
        </w:rPr>
        <w:t>25</w:t>
      </w:r>
      <w:r w:rsidR="00C01E64">
        <w:rPr>
          <w:lang w:val="en-US"/>
        </w:rPr>
        <w:fldChar w:fldCharType="end"/>
      </w:r>
    </w:p>
    <w:p w14:paraId="51691D57" w14:textId="77777777" w:rsidR="006E2D8E" w:rsidRPr="006E2D8E" w:rsidRDefault="006E2D8E" w:rsidP="006E2D8E">
      <w:pPr>
        <w:pStyle w:val="StandardWeb"/>
        <w:numPr>
          <w:ilvl w:val="0"/>
          <w:numId w:val="13"/>
        </w:numPr>
        <w:spacing w:before="0" w:beforeAutospacing="0" w:after="0" w:afterAutospacing="0" w:line="259" w:lineRule="auto"/>
        <w:ind w:left="714" w:hanging="357"/>
        <w:jc w:val="both"/>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Kleine / mittlere Brände: Erneuerung der dominanten Vegetation.  </w:t>
      </w:r>
    </w:p>
    <w:p w14:paraId="48976D7E" w14:textId="77777777" w:rsidR="006E2D8E" w:rsidRPr="006E2D8E" w:rsidRDefault="006E2D8E" w:rsidP="006E2D8E">
      <w:pPr>
        <w:pStyle w:val="StandardWeb"/>
        <w:numPr>
          <w:ilvl w:val="0"/>
          <w:numId w:val="13"/>
        </w:numPr>
        <w:spacing w:before="0" w:beforeAutospacing="0" w:after="0" w:afterAutospacing="0" w:line="259" w:lineRule="auto"/>
        <w:ind w:left="714" w:hanging="357"/>
        <w:jc w:val="both"/>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Schwere Brände: mehrere negative Auswirkungen auf den Boden. </w:t>
      </w:r>
    </w:p>
    <w:p w14:paraId="31F3594B" w14:textId="01DC60D6" w:rsidR="00E0529E" w:rsidRPr="006E2D8E" w:rsidRDefault="006E2D8E" w:rsidP="006E2D8E">
      <w:pPr>
        <w:pStyle w:val="StandardWeb"/>
        <w:numPr>
          <w:ilvl w:val="0"/>
          <w:numId w:val="13"/>
        </w:numPr>
        <w:spacing w:before="0" w:beforeAutospacing="0" w:after="0" w:afterAutospacing="0" w:line="259" w:lineRule="auto"/>
        <w:ind w:left="714" w:hanging="357"/>
        <w:jc w:val="both"/>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 xml:space="preserve">Vorbrandniveau der meisten Grundstücke kann wiederhergestellt und sogar verbessert werden, wenn es Pflanzen gelingt, den verbrannten Bereich unverzüglich neu zu besiedeln. </w:t>
      </w:r>
    </w:p>
    <w:p w14:paraId="74FAFB00" w14:textId="6698FBA4" w:rsidR="00B34357" w:rsidRPr="00266775" w:rsidRDefault="00AD3CEF" w:rsidP="00B34357">
      <w:pPr>
        <w:pStyle w:val="berschrift3"/>
        <w:rPr>
          <w:lang w:val="en-US"/>
        </w:rPr>
      </w:pPr>
      <w:r w:rsidRPr="00266775">
        <w:rPr>
          <w:lang w:val="en-US"/>
        </w:rPr>
        <w:t>Fire-mediated dieback and compositional cascade in an Amazon forest</w:t>
      </w:r>
      <w:r w:rsidR="00C01E64">
        <w:rPr>
          <w:lang w:val="en-US"/>
        </w:rPr>
        <w:fldChar w:fldCharType="begin" w:fldLock="1"/>
      </w:r>
      <w:r w:rsidR="0090638A">
        <w:rPr>
          <w:lang w:val="en-US"/>
        </w:rPr>
        <w:instrText>ADDIN CSL_CITATION {"citationItems":[{"id":"ITEM-1","itemData":{"DOI":"10.1098/rstb.2007.0013","ISSN":"09628452","abstract":"The only fully coupled land-atmosphere global climate model predicts a widespread dieback of Amazonian forest cover through reduced precipitation. Although these predictions are controversial, the structural and compositional resilience of Amazonian forests may also have been overestimated, as current vegetation models fail to consider the potential role of fire in the degradation of forest ecosystems. We examine forest structure and composition in the Arapiuns River basin in the central Brazilian Amazon, evaluating post-fire forest recovery and the consequences of recurrent fires for the patterns of dominance of tree species. We surveyed tree plots in unburned and once-burned forests examined 1, 3 and 9 years after an unprecedented fire event, in twice-burned forests examined 3 and 9 years after fire and in thrice-burned forests examined 5 years after the most recent fire event. The number of trees recorded in unburned primary forest control plots was stable over time. However, in both once- and twice-burned forest plots, there was a marked recruitment into the 10-20cm diameter at breast height tree size classes between 3 and 9 years post-fire. Considering tree assemblage composition 9 years after the first fire contact, we observed (i) a clear pattern of community turnover among small trees and the most abundant shrubs and saplings, and (ii) that species that were common in any of the four burn treatments (unburned, once-, twice- and thrice-burned) were often rare or entirely absent in other burn treatments. We conclude that episodic wildfires can lead to drastic changes in forest structure and composition, with cascading shifts in forest composition following each additional fire event. Finally, we use these results to evaluate the validity of the savannization paradigm. © 2008 The Royal Society.","author":[{"dropping-particle":"","family":"Barlow","given":"Jos","non-dropping-particle":"","parse-names":false,"suffix":""},{"dropping-particle":"","family":"Peres","given":"Carlos A.","non-dropping-particle":"","parse-names":false,"suffix":""}],"container-title":"Philosophical Transactions of the Royal Society B: Biological Sciences","id":"ITEM-1","issue":"1498","issued":{"date-parts":[["2008","5","27"]]},"note":"- Untersuchung der Waldstruktur und -zusammensetzung nach Bränden. Bewertung der Erholung und der Folgen wiederkehrender Brände. \n\n- Waldbrände können zu wichtigen Veränderungen in der Waldstruktur und -zusammensetzung führen. \n\n\n- Savannisierungsparadigma","page":"1787-1794","publisher":"Royal Society","title":"Fire-mediated dieback and compositional cascade in an Amazonian forest","type":"paper-conference","volume":"363"},"uris":["http://www.mendeley.com/documents/?uuid=781a41f2-fd4c-32e3-8de3-f23a2d920a4a"]}],"mendeley":{"formattedCitation":"&lt;sup&gt;11&lt;/sup&gt;","plainTextFormattedCitation":"11","previouslyFormattedCitation":"&lt;sup&gt;11&lt;/sup&gt;"},"properties":{"noteIndex":0},"schema":"https://github.com/citation-style-language/schema/raw/master/csl-citation.json"}</w:instrText>
      </w:r>
      <w:r w:rsidR="00C01E64">
        <w:rPr>
          <w:lang w:val="en-US"/>
        </w:rPr>
        <w:fldChar w:fldCharType="separate"/>
      </w:r>
      <w:r w:rsidR="00C01E64" w:rsidRPr="00C01E64">
        <w:rPr>
          <w:noProof/>
          <w:vertAlign w:val="superscript"/>
          <w:lang w:val="en-US"/>
        </w:rPr>
        <w:t>11</w:t>
      </w:r>
      <w:r w:rsidR="00C01E64">
        <w:rPr>
          <w:lang w:val="en-US"/>
        </w:rPr>
        <w:fldChar w:fldCharType="end"/>
      </w:r>
    </w:p>
    <w:p w14:paraId="6F08EAFE" w14:textId="77777777" w:rsidR="006E2D8E" w:rsidRPr="006E2D8E" w:rsidRDefault="006E2D8E" w:rsidP="006E2D8E">
      <w:pPr>
        <w:pStyle w:val="StandardWeb"/>
        <w:numPr>
          <w:ilvl w:val="0"/>
          <w:numId w:val="2"/>
        </w:numPr>
        <w:shd w:val="clear" w:color="auto" w:fill="FFFFFF"/>
        <w:spacing w:before="0" w:beforeAutospacing="0" w:after="0" w:afterAutospacing="0" w:line="259" w:lineRule="auto"/>
        <w:ind w:left="714" w:hanging="357"/>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Untersuchung der Waldstruktur und -zusammensetzung nach Bränden. Bewertung der Erholung und der Folgen wiederkehrender Brände. </w:t>
      </w:r>
    </w:p>
    <w:p w14:paraId="442BFA0D" w14:textId="77777777" w:rsidR="006E2D8E" w:rsidRPr="006E2D8E" w:rsidRDefault="006E2D8E" w:rsidP="006E2D8E">
      <w:pPr>
        <w:pStyle w:val="StandardWeb"/>
        <w:numPr>
          <w:ilvl w:val="0"/>
          <w:numId w:val="2"/>
        </w:numPr>
        <w:shd w:val="clear" w:color="auto" w:fill="FFFFFF"/>
        <w:spacing w:before="0" w:beforeAutospacing="0" w:after="0" w:afterAutospacing="0" w:line="259" w:lineRule="auto"/>
        <w:ind w:left="714" w:hanging="357"/>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Waldbrände können zu wichtigen Veränderungen in der Waldstruktur und -zusammensetzung führen. </w:t>
      </w:r>
    </w:p>
    <w:p w14:paraId="2D700767" w14:textId="113C71CE" w:rsidR="00AD3CEF" w:rsidRPr="006E2D8E" w:rsidRDefault="006E2D8E" w:rsidP="006E2D8E">
      <w:pPr>
        <w:pStyle w:val="StandardWeb"/>
        <w:numPr>
          <w:ilvl w:val="0"/>
          <w:numId w:val="2"/>
        </w:numPr>
        <w:shd w:val="clear" w:color="auto" w:fill="FFFFFF"/>
        <w:spacing w:before="0" w:beforeAutospacing="0" w:after="160" w:afterAutospacing="0" w:line="259" w:lineRule="auto"/>
        <w:ind w:left="714" w:hanging="357"/>
        <w:textAlignment w:val="baseline"/>
        <w:rPr>
          <w:rFonts w:asciiTheme="minorHAnsi" w:hAnsiTheme="minorHAnsi"/>
          <w:color w:val="000000"/>
          <w:sz w:val="22"/>
          <w:szCs w:val="22"/>
          <w:lang w:val="de-CH"/>
        </w:rPr>
      </w:pPr>
      <w:proofErr w:type="spellStart"/>
      <w:r w:rsidRPr="006E2D8E">
        <w:rPr>
          <w:rFonts w:asciiTheme="minorHAnsi" w:hAnsiTheme="minorHAnsi"/>
          <w:color w:val="000000"/>
          <w:sz w:val="22"/>
          <w:szCs w:val="22"/>
          <w:lang w:val="de-CH"/>
        </w:rPr>
        <w:t>Savannisierungsparadigma</w:t>
      </w:r>
      <w:proofErr w:type="spellEnd"/>
      <w:r w:rsidRPr="006E2D8E">
        <w:rPr>
          <w:rFonts w:asciiTheme="minorHAnsi" w:hAnsiTheme="minorHAnsi"/>
          <w:color w:val="000000"/>
          <w:sz w:val="22"/>
          <w:szCs w:val="22"/>
          <w:lang w:val="de-CH"/>
        </w:rPr>
        <w:t xml:space="preserve"> </w:t>
      </w:r>
    </w:p>
    <w:p w14:paraId="2D4936F8" w14:textId="71667A79" w:rsidR="00AD3CEF" w:rsidRPr="00E0529E" w:rsidRDefault="00AD3CEF" w:rsidP="00E0529E">
      <w:pPr>
        <w:pStyle w:val="berschrift3"/>
        <w:rPr>
          <w:lang w:val="en-US"/>
        </w:rPr>
      </w:pPr>
      <w:r w:rsidRPr="00266775">
        <w:rPr>
          <w:lang w:val="en-US"/>
        </w:rPr>
        <w:t>Natural disturbance dynamics in the boreal forests of European Russia: A review</w:t>
      </w:r>
      <w:r w:rsidR="00915C0D">
        <w:rPr>
          <w:lang w:val="en-US"/>
        </w:rPr>
        <w:fldChar w:fldCharType="begin" w:fldLock="1"/>
      </w:r>
      <w:r w:rsidR="0090638A">
        <w:rPr>
          <w:lang w:val="en-US"/>
        </w:rPr>
        <w:instrText>ADDIN CSL_CITATION {"citationItems":[{"id":"ITEM-1","itemData":{"DOI":"10.14214/sf.549","ISSN":"00375330","abstract":"In the European part of the Russian boreal zone the dynamics of pristine forests (taiga) has been studied by several generations of researchers. Many studies have examined the patterns and role of fire, windthrow, insect outbreaks and other natural disturbances. An attempt is made to provide a brief review of these studies. The reviewed studies show that lightning strikes were the only natural source of fires in taiga. The frequency of fires varied in various types of pristine landscape from 1-2 per century to 1-2 per millennium. Fires maintained a dynamic equilibrium between compositionally different forest communities or their certain ratio and areal occurrence. Fires favored the regeneration and recovery of pine forests and prevented the replacement of shade-intolerant species (e.g. pine) by shade-tolerant ones (e.g. spruce). Taiga forests generally displayed a mosaic pattern that varied from pioneer plant communities, growing in open burns, to climax communities that were extremely seldom affected by fire. The reviewed studies suggest that fires were a powerful ecological factor in pristine taiga, being largely responsible for the structure and spontaneous dynamics of forest communities. Windfalls were also common in pristine taiga landscapes and they regulated spontaneous dynamics in a gap-mosaic regime, which is most characteristic of spruce forests.","author":[{"dropping-particle":"","family":"Gromtsev","given":"Andrei","non-dropping-particle":"","parse-names":false,"suffix":""}],"container-title":"Silva Fennica","id":"ITEM-1","issue":"1","issued":{"date-parts":[["2002"]]},"note":"- Brände waren ein starker ökologischer Faktor in der unberührten Taiga und waren maßgeblich für die Struktur und die spontane Dynamik der Waldgemeinschaften verantwortlich. \n- Brände begünstigten die Regeneration und Erholung der Kiefernwälder. \n- Review-Artikel","page":"41-55","title":"Natural disturbance dynamics in the boreal forests of European Russia: A review","type":"paper-conference","volume":"36"},"uris":["http://www.mendeley.com/documents/?uuid=7ec2b102-44bf-3022-b673-bdafb6d0b337"]}],"mendeley":{"formattedCitation":"&lt;sup&gt;26&lt;/sup&gt;","plainTextFormattedCitation":"26","previouslyFormattedCitation":"&lt;sup&gt;26&lt;/sup&gt;"},"properties":{"noteIndex":0},"schema":"https://github.com/citation-style-language/schema/raw/master/csl-citation.json"}</w:instrText>
      </w:r>
      <w:r w:rsidR="00915C0D">
        <w:rPr>
          <w:lang w:val="en-US"/>
        </w:rPr>
        <w:fldChar w:fldCharType="separate"/>
      </w:r>
      <w:r w:rsidR="0090638A" w:rsidRPr="0090638A">
        <w:rPr>
          <w:noProof/>
          <w:vertAlign w:val="superscript"/>
          <w:lang w:val="en-US"/>
        </w:rPr>
        <w:t>26</w:t>
      </w:r>
      <w:r w:rsidR="00915C0D">
        <w:rPr>
          <w:lang w:val="en-US"/>
        </w:rPr>
        <w:fldChar w:fldCharType="end"/>
      </w:r>
    </w:p>
    <w:p w14:paraId="76EFF9E0" w14:textId="77777777" w:rsidR="006E2D8E" w:rsidRPr="006E2D8E" w:rsidRDefault="006E2D8E" w:rsidP="006E2D8E">
      <w:pPr>
        <w:pStyle w:val="StandardWeb"/>
        <w:numPr>
          <w:ilvl w:val="0"/>
          <w:numId w:val="3"/>
        </w:numPr>
        <w:spacing w:before="0" w:beforeAutospacing="0" w:after="0" w:afterAutospacing="0" w:line="259" w:lineRule="auto"/>
        <w:ind w:left="714" w:hanging="357"/>
        <w:jc w:val="both"/>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Brände waren ein starker ökologischer Faktor in der unberührten Taiga und waren maßgeblich für die Struktur und die spontane Dynamik der Waldgemeinschaften verantwortlich. </w:t>
      </w:r>
    </w:p>
    <w:p w14:paraId="6F51F45F" w14:textId="77777777" w:rsidR="006E2D8E" w:rsidRPr="006E2D8E" w:rsidRDefault="006E2D8E" w:rsidP="006E2D8E">
      <w:pPr>
        <w:pStyle w:val="StandardWeb"/>
        <w:numPr>
          <w:ilvl w:val="0"/>
          <w:numId w:val="3"/>
        </w:numPr>
        <w:spacing w:before="0" w:beforeAutospacing="0" w:after="0" w:afterAutospacing="0" w:line="259" w:lineRule="auto"/>
        <w:ind w:left="714" w:hanging="357"/>
        <w:jc w:val="both"/>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Brände begünstigten die Regeneration und Erholung der Kiefernwälder. </w:t>
      </w:r>
    </w:p>
    <w:p w14:paraId="220A89B2" w14:textId="1C2108A0" w:rsidR="00AD3CEF" w:rsidRPr="006E2D8E" w:rsidRDefault="006E2D8E" w:rsidP="006E2D8E">
      <w:pPr>
        <w:pStyle w:val="StandardWeb"/>
        <w:numPr>
          <w:ilvl w:val="0"/>
          <w:numId w:val="3"/>
        </w:numPr>
        <w:spacing w:before="0" w:beforeAutospacing="0" w:after="160" w:afterAutospacing="0" w:line="259" w:lineRule="auto"/>
        <w:ind w:left="714" w:hanging="357"/>
        <w:jc w:val="both"/>
        <w:textAlignment w:val="baseline"/>
        <w:rPr>
          <w:rFonts w:asciiTheme="minorHAnsi" w:hAnsiTheme="minorHAnsi"/>
          <w:color w:val="000000"/>
          <w:sz w:val="22"/>
          <w:szCs w:val="22"/>
          <w:lang w:val="de-CH"/>
        </w:rPr>
      </w:pPr>
      <w:r w:rsidRPr="006E2D8E">
        <w:rPr>
          <w:rFonts w:asciiTheme="minorHAnsi" w:hAnsiTheme="minorHAnsi"/>
          <w:color w:val="000000"/>
          <w:sz w:val="22"/>
          <w:szCs w:val="22"/>
          <w:lang w:val="de-CH"/>
        </w:rPr>
        <w:t xml:space="preserve">Review-Artikel </w:t>
      </w:r>
    </w:p>
    <w:p w14:paraId="39C4B660" w14:textId="1B176F6A" w:rsidR="00B34357" w:rsidRPr="00266775" w:rsidRDefault="00AD3CEF" w:rsidP="00B34357">
      <w:pPr>
        <w:pStyle w:val="berschrift3"/>
        <w:rPr>
          <w:lang w:val="en-US"/>
        </w:rPr>
      </w:pPr>
      <w:r w:rsidRPr="00266775">
        <w:rPr>
          <w:lang w:val="en-US"/>
        </w:rPr>
        <w:t>Mechanisms of recovery after fire by rodents in the Australian environment: A review</w:t>
      </w:r>
      <w:r w:rsidR="00915C0D">
        <w:rPr>
          <w:lang w:val="en-US"/>
        </w:rPr>
        <w:fldChar w:fldCharType="begin" w:fldLock="1"/>
      </w:r>
      <w:r w:rsidR="0090638A">
        <w:rPr>
          <w:lang w:val="en-US"/>
        </w:rPr>
        <w:instrText>ADDIN CSL_CITATION {"citationItems":[{"id":"ITEM-1","itemData":{"DOI":"10.1071/WR97045","ISSN":"10353712","abstract":"Possible impacts and mechanisms of response by Australian rodents to fire are identified and discussed in relation to the literature. Although there is considerable information on patterns of population response, there is little concerning the effect of fire on individual behaviour, mortality, or interactions at the community level. The evidence that links observed responses of rodents to habitat variables is largely correlative, and theories on mechanisms of recovery are often simplified or speculative. Experimental manipulations of resources, competitive interactions and predation rates are proposed as the best way to clarify which factors are most influential upon individuals, populations and communities in the post-fire environment.","author":[{"dropping-particle":"","family":"Sutherland","given":"Elizabeth F.","non-dropping-particle":"","parse-names":false,"suffix":""},{"dropping-particle":"","family":"Dickman","given":"Chris R.","non-dropping-particle":"","parse-names":false,"suffix":""}],"container-title":"Wildlife Research","id":"ITEM-1","issue":"4","issued":{"date-parts":[["1999"]]},"note":"Selected, because it covers another aspect of the forest: the animal world.\n\n\n\n- Komplexes Muster einzelner Arten, die auf verschiedene Weise auf Feuer reagieren. \n- Auswirkungen: verringerte Bevölkerungszahl, verringerte Ressourcenverfügbarkeit, verstärkter Kompetition, erhöhte Raubigkeit, usw. \n- Massnahmen: Einwanderung, Ernährungsumstellung, usw.","page":"405-419","publisher":"CSIRO","title":"Mechanisms of recovery after fire by rodents in the Australian environment: A review","type":"article-journal","volume":"26"},"uris":["http://www.mendeley.com/documents/?uuid=73b04abd-50ba-3195-9945-10fc108ec950"]}],"mendeley":{"formattedCitation":"&lt;sup&gt;27&lt;/sup&gt;","plainTextFormattedCitation":"27","previouslyFormattedCitation":"&lt;sup&gt;27&lt;/sup&gt;"},"properties":{"noteIndex":0},"schema":"https://github.com/citation-style-language/schema/raw/master/csl-citation.json"}</w:instrText>
      </w:r>
      <w:r w:rsidR="00915C0D">
        <w:rPr>
          <w:lang w:val="en-US"/>
        </w:rPr>
        <w:fldChar w:fldCharType="separate"/>
      </w:r>
      <w:r w:rsidR="0090638A" w:rsidRPr="0090638A">
        <w:rPr>
          <w:noProof/>
          <w:vertAlign w:val="superscript"/>
          <w:lang w:val="en-US"/>
        </w:rPr>
        <w:t>27</w:t>
      </w:r>
      <w:r w:rsidR="00915C0D">
        <w:rPr>
          <w:lang w:val="en-US"/>
        </w:rPr>
        <w:fldChar w:fldCharType="end"/>
      </w:r>
    </w:p>
    <w:p w14:paraId="65DE2D34" w14:textId="766D608D" w:rsidR="006E2D8E" w:rsidRPr="00C01E64" w:rsidRDefault="006E2D8E" w:rsidP="006E2D8E">
      <w:pPr>
        <w:pStyle w:val="StandardWeb"/>
        <w:numPr>
          <w:ilvl w:val="0"/>
          <w:numId w:val="19"/>
        </w:numPr>
        <w:spacing w:before="0" w:beforeAutospacing="0" w:after="0" w:afterAutospacing="0" w:line="259" w:lineRule="auto"/>
        <w:ind w:left="714" w:hanging="357"/>
        <w:textAlignment w:val="baseline"/>
        <w:rPr>
          <w:rFonts w:asciiTheme="minorHAnsi" w:hAnsiTheme="minorHAnsi" w:cs="Arial"/>
          <w:color w:val="000000"/>
          <w:sz w:val="22"/>
          <w:szCs w:val="22"/>
          <w:lang w:val="de-CH"/>
        </w:rPr>
      </w:pPr>
      <w:r w:rsidRPr="00C01E64">
        <w:rPr>
          <w:rFonts w:asciiTheme="minorHAnsi" w:hAnsiTheme="minorHAnsi"/>
          <w:color w:val="000000"/>
          <w:sz w:val="22"/>
          <w:szCs w:val="22"/>
          <w:lang w:val="de-CH"/>
        </w:rPr>
        <w:t>Komplexes Muster einzelner Arten, die auf verschiedene Weise auf Feuer reagieren.</w:t>
      </w:r>
    </w:p>
    <w:p w14:paraId="1779212C" w14:textId="255EF28F" w:rsidR="006E2D8E" w:rsidRPr="00C01E64" w:rsidRDefault="006E2D8E" w:rsidP="006E2D8E">
      <w:pPr>
        <w:pStyle w:val="StandardWeb"/>
        <w:numPr>
          <w:ilvl w:val="0"/>
          <w:numId w:val="19"/>
        </w:numPr>
        <w:spacing w:before="0" w:beforeAutospacing="0" w:after="0" w:afterAutospacing="0" w:line="259" w:lineRule="auto"/>
        <w:ind w:left="714" w:hanging="357"/>
        <w:textAlignment w:val="baseline"/>
        <w:rPr>
          <w:rFonts w:asciiTheme="minorHAnsi" w:hAnsiTheme="minorHAnsi" w:cs="Arial"/>
          <w:color w:val="000000"/>
          <w:sz w:val="22"/>
          <w:szCs w:val="22"/>
          <w:lang w:val="de-CH"/>
        </w:rPr>
      </w:pPr>
      <w:r w:rsidRPr="00C01E64">
        <w:rPr>
          <w:rFonts w:asciiTheme="minorHAnsi" w:hAnsiTheme="minorHAnsi"/>
          <w:color w:val="000000"/>
          <w:sz w:val="22"/>
          <w:szCs w:val="22"/>
          <w:lang w:val="de-CH"/>
        </w:rPr>
        <w:t>Auswirkungen: verringerte Bevölkerungszahl, verringerte Ressourcenverfügbarkeit, verstärkter Ko</w:t>
      </w:r>
      <w:r w:rsidR="00D148BD">
        <w:rPr>
          <w:rFonts w:asciiTheme="minorHAnsi" w:hAnsiTheme="minorHAnsi"/>
          <w:color w:val="000000"/>
          <w:sz w:val="22"/>
          <w:szCs w:val="22"/>
          <w:lang w:val="de-CH"/>
        </w:rPr>
        <w:t>nkurrenz</w:t>
      </w:r>
      <w:r w:rsidRPr="00C01E64">
        <w:rPr>
          <w:rFonts w:asciiTheme="minorHAnsi" w:hAnsiTheme="minorHAnsi"/>
          <w:color w:val="000000"/>
          <w:sz w:val="22"/>
          <w:szCs w:val="22"/>
          <w:lang w:val="de-CH"/>
        </w:rPr>
        <w:t xml:space="preserve">, erhöhte </w:t>
      </w:r>
      <w:r w:rsidR="00D148BD">
        <w:rPr>
          <w:rFonts w:asciiTheme="minorHAnsi" w:hAnsiTheme="minorHAnsi"/>
          <w:color w:val="000000"/>
          <w:sz w:val="22"/>
          <w:szCs w:val="22"/>
          <w:lang w:val="de-CH"/>
        </w:rPr>
        <w:t>Prädation</w:t>
      </w:r>
      <w:r w:rsidRPr="00C01E64">
        <w:rPr>
          <w:rFonts w:asciiTheme="minorHAnsi" w:hAnsiTheme="minorHAnsi"/>
          <w:color w:val="000000"/>
          <w:sz w:val="22"/>
          <w:szCs w:val="22"/>
          <w:lang w:val="de-CH"/>
        </w:rPr>
        <w:t>, usw. </w:t>
      </w:r>
    </w:p>
    <w:p w14:paraId="728A86D2" w14:textId="400A29B7" w:rsidR="00AD3CEF" w:rsidRPr="00C01E64" w:rsidRDefault="006E2D8E" w:rsidP="006E2D8E">
      <w:pPr>
        <w:pStyle w:val="StandardWeb"/>
        <w:numPr>
          <w:ilvl w:val="0"/>
          <w:numId w:val="19"/>
        </w:numPr>
        <w:spacing w:before="0" w:beforeAutospacing="0" w:after="160" w:afterAutospacing="0" w:line="259" w:lineRule="auto"/>
        <w:ind w:left="714" w:hanging="357"/>
        <w:textAlignment w:val="baseline"/>
        <w:rPr>
          <w:rFonts w:asciiTheme="minorHAnsi" w:hAnsiTheme="minorHAnsi" w:cs="Arial"/>
          <w:color w:val="000000"/>
          <w:sz w:val="22"/>
          <w:szCs w:val="22"/>
          <w:lang w:val="de-CH"/>
        </w:rPr>
      </w:pPr>
      <w:r w:rsidRPr="00C01E64">
        <w:rPr>
          <w:rFonts w:asciiTheme="minorHAnsi" w:hAnsiTheme="minorHAnsi"/>
          <w:color w:val="000000"/>
          <w:sz w:val="22"/>
          <w:szCs w:val="22"/>
          <w:lang w:val="de-CH"/>
        </w:rPr>
        <w:t xml:space="preserve">Massnahmen: Einwanderung, Ernährungsumstellung, usw. </w:t>
      </w:r>
    </w:p>
    <w:p w14:paraId="603B2392" w14:textId="7EA74A8B" w:rsidR="00AD3CEF" w:rsidRPr="00266775" w:rsidRDefault="00AD3CEF" w:rsidP="00AD3CEF">
      <w:pPr>
        <w:pStyle w:val="berschrift3"/>
        <w:rPr>
          <w:lang w:val="en-US"/>
        </w:rPr>
      </w:pPr>
      <w:r w:rsidRPr="00266775">
        <w:rPr>
          <w:lang w:val="en-US"/>
        </w:rPr>
        <w:t>Evidence for declining forest re</w:t>
      </w:r>
      <w:r w:rsidR="005A61F7">
        <w:rPr>
          <w:lang w:val="en-US"/>
        </w:rPr>
        <w:t>silience to wildfires under cli</w:t>
      </w:r>
      <w:r w:rsidRPr="00266775">
        <w:rPr>
          <w:lang w:val="en-US"/>
        </w:rPr>
        <w:t>mate change</w:t>
      </w:r>
      <w:r w:rsidR="00915C0D">
        <w:rPr>
          <w:lang w:val="en-US"/>
        </w:rPr>
        <w:fldChar w:fldCharType="begin" w:fldLock="1"/>
      </w:r>
      <w:r w:rsidR="00915C0D">
        <w:rPr>
          <w:lang w:val="en-US"/>
        </w:rPr>
        <w:instrText>ADDIN CSL_CITATION {"citationItems":[{"id":"ITEM-1","itemData":{"DOI":"10.1111/ele.12889","ISSN":"14610248","abstract":"Forest resilience to climate change is a global concern given the potential effects of increased disturbance activity, warming temperatures and increased moisture stress on plants. We used a multi-regional dataset of 1485 sites across 52 wildfires from the US Rocky Mountains to ask if and how changing climate over the last several decades impacted post-fire tree regeneration, a key indicator of forest resilience. Results highlight significant decreases in tree regeneration in the 21st century. Annual moisture deficits were significantly greater from 2000 to 2015 as compared to 1985–1999, suggesting increasingly unfavourable post-fire growing conditions, corresponding to significantly lower seedling densities and increased regeneration failure. Dry forests that already occur at the edge of their climatic tolerance are most prone to conversion to non-forests after wildfires. Major climate-induced reduction in forest density and extent has important consequences for a myriad of ecosystem services now and in the future.","author":[{"dropping-particle":"","family":"Stevens-Rumann","given":"Camille S.","non-dropping-particle":"","parse-names":false,"suffix":""},{"dropping-particle":"","family":"Kemp","given":"Kerry B.","non-dropping-particle":"","parse-names":false,"suffix":""},{"dropping-particle":"","family":"Higuera","given":"Philip E.","non-dropping-particle":"","parse-names":false,"suffix":""},{"dropping-particle":"","family":"Harvey","given":"Brian J.","non-dropping-particle":"","parse-names":false,"suffix":""},{"dropping-particle":"","family":"Rother","given":"Monica T.","non-dropping-particle":"","parse-names":false,"suffix":""},{"dropping-particle":"","family":"Donato","given":"Daniel C.","non-dropping-particle":"","parse-names":false,"suffix":""},{"dropping-particle":"","family":"Morgan","given":"Penelope","non-dropping-particle":"","parse-names":false,"suffix":""},{"dropping-particle":"","family":"Veblen","given":"Thomas T.","non-dropping-particle":"","parse-names":false,"suffix":""}],"container-title":"Ecology Letters","id":"ITEM-1","issue":"2","issued":{"date-parts":[["2019","2","1"]]},"page":"243-252","publisher":"Blackwell Publishing Ltd","title":"Evidence for declining forest resilience to wildfires under climate change","type":"article","volume":"21"},"uris":["http://www.mendeley.com/documents/?uuid=448b0003-f863-3fed-91b4-4ec6d306b62c"]}],"mendeley":{"formattedCitation":"&lt;sup&gt;3&lt;/sup&gt;","plainTextFormattedCitation":"3","previouslyFormattedCitation":"&lt;sup&gt;3&lt;/sup&gt;"},"properties":{"noteIndex":0},"schema":"https://github.com/citation-style-language/schema/raw/master/csl-citation.json"}</w:instrText>
      </w:r>
      <w:r w:rsidR="00915C0D">
        <w:rPr>
          <w:lang w:val="en-US"/>
        </w:rPr>
        <w:fldChar w:fldCharType="separate"/>
      </w:r>
      <w:r w:rsidR="00915C0D" w:rsidRPr="00915C0D">
        <w:rPr>
          <w:noProof/>
          <w:vertAlign w:val="superscript"/>
          <w:lang w:val="en-US"/>
        </w:rPr>
        <w:t>3</w:t>
      </w:r>
      <w:r w:rsidR="00915C0D">
        <w:rPr>
          <w:lang w:val="en-US"/>
        </w:rPr>
        <w:fldChar w:fldCharType="end"/>
      </w:r>
    </w:p>
    <w:p w14:paraId="25C17DCF" w14:textId="77777777" w:rsidR="006E2D8E" w:rsidRDefault="006E2D8E" w:rsidP="006E2D8E">
      <w:pPr>
        <w:pStyle w:val="StandardWeb"/>
        <w:numPr>
          <w:ilvl w:val="0"/>
          <w:numId w:val="1"/>
        </w:numPr>
        <w:spacing w:before="0" w:beforeAutospacing="0" w:after="0" w:afterAutospacing="0" w:line="259" w:lineRule="auto"/>
        <w:jc w:val="both"/>
        <w:textAlignment w:val="baseline"/>
        <w:rPr>
          <w:rFonts w:asciiTheme="minorHAnsi" w:hAnsiTheme="minorHAnsi"/>
          <w:color w:val="000000"/>
          <w:sz w:val="22"/>
          <w:szCs w:val="22"/>
          <w:lang w:val="de-CH"/>
        </w:rPr>
      </w:pPr>
      <w:r w:rsidRPr="00E0529E">
        <w:rPr>
          <w:rFonts w:asciiTheme="minorHAnsi" w:hAnsiTheme="minorHAnsi"/>
          <w:color w:val="000000"/>
          <w:sz w:val="22"/>
          <w:szCs w:val="22"/>
          <w:lang w:val="de-CH"/>
        </w:rPr>
        <w:t>Wechselwirkungen zwischen Waldbränden und Dürre nach dem Brand und ihre Auswirkungen auf die Waldregeneration. </w:t>
      </w:r>
    </w:p>
    <w:p w14:paraId="0B04354F" w14:textId="77777777" w:rsidR="006E2D8E" w:rsidRPr="00E0529E" w:rsidRDefault="006E2D8E" w:rsidP="006E2D8E">
      <w:pPr>
        <w:pStyle w:val="StandardWeb"/>
        <w:numPr>
          <w:ilvl w:val="0"/>
          <w:numId w:val="1"/>
        </w:numPr>
        <w:spacing w:before="0" w:beforeAutospacing="0" w:after="0" w:afterAutospacing="0" w:line="259" w:lineRule="auto"/>
        <w:jc w:val="both"/>
        <w:textAlignment w:val="baseline"/>
        <w:rPr>
          <w:rFonts w:asciiTheme="minorHAnsi" w:hAnsiTheme="minorHAnsi"/>
          <w:color w:val="000000"/>
          <w:sz w:val="22"/>
          <w:szCs w:val="22"/>
          <w:lang w:val="de-CH"/>
        </w:rPr>
      </w:pPr>
      <w:r w:rsidRPr="00E0529E">
        <w:rPr>
          <w:rFonts w:asciiTheme="minorHAnsi" w:hAnsiTheme="minorHAnsi"/>
          <w:color w:val="000000"/>
          <w:sz w:val="22"/>
          <w:szCs w:val="22"/>
          <w:lang w:val="de-CH"/>
        </w:rPr>
        <w:t>Resultate: signifikanten Rückgang der Baumregeneration im 21. Jahrhundert. </w:t>
      </w:r>
    </w:p>
    <w:p w14:paraId="721321AA" w14:textId="6DBCD2E4" w:rsidR="005A61F7" w:rsidRPr="003135E4" w:rsidRDefault="006E2D8E" w:rsidP="00B34357">
      <w:pPr>
        <w:pStyle w:val="StandardWeb"/>
        <w:numPr>
          <w:ilvl w:val="0"/>
          <w:numId w:val="1"/>
        </w:numPr>
        <w:spacing w:before="0" w:beforeAutospacing="0" w:after="160" w:afterAutospacing="0" w:line="259" w:lineRule="auto"/>
        <w:jc w:val="both"/>
        <w:textAlignment w:val="baseline"/>
        <w:rPr>
          <w:rStyle w:val="berschrift1Zchn"/>
          <w:rFonts w:asciiTheme="minorHAnsi" w:eastAsiaTheme="minorHAnsi" w:hAnsiTheme="minorHAnsi" w:cs="Times New Roman"/>
          <w:color w:val="000000"/>
          <w:sz w:val="22"/>
          <w:szCs w:val="22"/>
          <w:lang w:val="de-CH"/>
        </w:rPr>
      </w:pPr>
      <w:r w:rsidRPr="00E0529E">
        <w:rPr>
          <w:rFonts w:asciiTheme="minorHAnsi" w:hAnsiTheme="minorHAnsi"/>
          <w:color w:val="000000"/>
          <w:sz w:val="22"/>
          <w:szCs w:val="22"/>
          <w:lang w:val="de-CH"/>
        </w:rPr>
        <w:t xml:space="preserve">Günstigere Bedingungen für die Regeneration an Standorten, die im Durchschnitt kühler / feuchter sind. </w:t>
      </w:r>
    </w:p>
    <w:p w14:paraId="5562952E" w14:textId="77777777" w:rsidR="00B34357" w:rsidRPr="00266775" w:rsidRDefault="00B34357" w:rsidP="00B34357">
      <w:pPr>
        <w:pStyle w:val="StandardWeb"/>
        <w:spacing w:before="0" w:beforeAutospacing="0" w:after="160" w:afterAutospacing="0"/>
        <w:rPr>
          <w:color w:val="000000"/>
          <w:lang w:val="de-CH"/>
        </w:rPr>
      </w:pPr>
      <w:r w:rsidRPr="00266775">
        <w:rPr>
          <w:rStyle w:val="berschrift1Zchn"/>
          <w:lang w:val="de-CH"/>
        </w:rPr>
        <w:t xml:space="preserve">Rechercheaspekt D: </w:t>
      </w:r>
      <w:r w:rsidRPr="00266775">
        <w:rPr>
          <w:rFonts w:asciiTheme="majorHAnsi" w:hAnsiTheme="majorHAnsi" w:cs="Arial"/>
          <w:color w:val="2E74B5"/>
          <w:sz w:val="32"/>
          <w:szCs w:val="32"/>
          <w:lang w:val="de-CH"/>
        </w:rPr>
        <w:t>Zerstörung durch Trockenheit/Dürre/Wassermangel</w:t>
      </w:r>
    </w:p>
    <w:p w14:paraId="4201E7F1" w14:textId="77777777" w:rsidR="00B34357" w:rsidRPr="00D230CC" w:rsidRDefault="00B34357" w:rsidP="00B34357">
      <w:pPr>
        <w:rPr>
          <w:rStyle w:val="Hervorhebung"/>
        </w:rPr>
      </w:pPr>
      <w:r>
        <w:rPr>
          <w:rStyle w:val="Hervorhebung"/>
        </w:rPr>
        <w:t>Rachel Linley</w:t>
      </w:r>
    </w:p>
    <w:p w14:paraId="5E2BE769" w14:textId="5824EC8E" w:rsidR="00B34357" w:rsidRDefault="00B34357" w:rsidP="00B34357">
      <w:pPr>
        <w:pStyle w:val="berschrift2"/>
        <w:rPr>
          <w:sz w:val="22"/>
          <w:lang w:val="de-CH"/>
        </w:rPr>
      </w:pPr>
      <w:r>
        <w:rPr>
          <w:lang w:val="de-CH"/>
        </w:rPr>
        <w:t xml:space="preserve">Kurzzusammenfassung </w:t>
      </w:r>
    </w:p>
    <w:p w14:paraId="43F48307" w14:textId="71584802" w:rsidR="0042406D" w:rsidRPr="00031D9B" w:rsidRDefault="0042406D" w:rsidP="006243A3">
      <w:pPr>
        <w:widowControl w:val="0"/>
        <w:autoSpaceDE w:val="0"/>
        <w:autoSpaceDN w:val="0"/>
        <w:adjustRightInd w:val="0"/>
        <w:jc w:val="both"/>
        <w:rPr>
          <w:rFonts w:eastAsia="Times New Roman" w:cs="Times New Roman"/>
          <w:bCs/>
          <w:color w:val="000000" w:themeColor="text1"/>
          <w:lang w:val="de-CH" w:eastAsia="de-DE"/>
        </w:rPr>
      </w:pPr>
      <w:r w:rsidRPr="0042406D">
        <w:rPr>
          <w:rFonts w:eastAsia="Times New Roman" w:cs="Times New Roman"/>
          <w:bCs/>
          <w:color w:val="000000" w:themeColor="text1"/>
          <w:lang w:val="de-CH" w:eastAsia="de-DE"/>
        </w:rPr>
        <w:t>Publikationen aus allen Teilen der Welt zum Baumsterben durch klim</w:t>
      </w:r>
      <w:r w:rsidR="00227B0B">
        <w:rPr>
          <w:rFonts w:eastAsia="Times New Roman" w:cs="Times New Roman"/>
          <w:bCs/>
          <w:color w:val="000000" w:themeColor="text1"/>
          <w:lang w:val="de-CH" w:eastAsia="de-DE"/>
        </w:rPr>
        <w:t xml:space="preserve">awandelbedingte Dürre und Hitze </w:t>
      </w:r>
      <w:r w:rsidRPr="0042406D">
        <w:rPr>
          <w:rFonts w:eastAsia="Times New Roman" w:cs="Times New Roman"/>
          <w:bCs/>
          <w:color w:val="000000" w:themeColor="text1"/>
          <w:lang w:val="de-CH" w:eastAsia="de-DE"/>
        </w:rPr>
        <w:t>haben in den letzten Jahren zugenommen</w:t>
      </w:r>
      <w:r w:rsidR="00227B0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Management","id":"ITEM-1","issue":"4","issued":{"date-parts":[["2010","2","5"]]},"note":"à       globaler Überblick zu aktueller Baummortalität wegen klimatischem Wasserstress und warmen Temp. in Wäldern schaffen, Wissenslücken aufzeigen \nà       Literaturrecherche (ab 1970-2009) \nà       Literaturherausgabe nimmt zu, nicht nur in H2O-limitierten Regionen, abh. v. Baumdichte, Zeit, Grösse &amp;amp; Alter","page":"660-684","title":"A global overview of drought and heat-induced tree mortality reveals emerging climate change risks for forests","type":"article-journal","volume":"259"},"uris":["http://www.mendeley.com/documents/?uuid=de0ae999-8499-3d01-ae83-f7c7c3470640"]}],"mendeley":{"formattedCitation":"&lt;sup&gt;1&lt;/sup&gt;","plainTextFormattedCitation":"1","previouslyFormattedCitation":"&lt;sup&gt;1&lt;/sup&gt;"},"properties":{"noteIndex":0},"schema":"https://github.com/citation-style-language/schema/raw/master/csl-citation.json"}</w:instrText>
      </w:r>
      <w:r w:rsidR="00227B0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1</w:t>
      </w:r>
      <w:r w:rsidR="00227B0B">
        <w:rPr>
          <w:rFonts w:eastAsia="Times New Roman" w:cs="Times New Roman"/>
          <w:bCs/>
          <w:color w:val="000000" w:themeColor="text1"/>
          <w:lang w:val="de-CH" w:eastAsia="de-DE"/>
        </w:rPr>
        <w:fldChar w:fldCharType="end"/>
      </w:r>
      <w:r w:rsidR="00266775">
        <w:rPr>
          <w:rFonts w:eastAsia="Times New Roman" w:cs="Times New Roman"/>
          <w:bCs/>
          <w:color w:val="000000" w:themeColor="text1"/>
          <w:lang w:val="de-CH" w:eastAsia="de-DE"/>
        </w:rPr>
        <w:t>.</w:t>
      </w:r>
      <w:r w:rsidR="00227B0B" w:rsidRPr="0042406D">
        <w:rPr>
          <w:rFonts w:eastAsia="Times New Roman" w:cs="Times New Roman"/>
          <w:bCs/>
          <w:color w:val="000000" w:themeColor="text1"/>
          <w:lang w:val="de-CH" w:eastAsia="de-DE"/>
        </w:rPr>
        <w:t xml:space="preserve"> </w:t>
      </w:r>
      <w:r w:rsidRPr="0042406D">
        <w:rPr>
          <w:rFonts w:eastAsia="Times New Roman" w:cs="Times New Roman"/>
          <w:bCs/>
          <w:color w:val="000000" w:themeColor="text1"/>
          <w:lang w:val="de-CH" w:eastAsia="de-DE"/>
        </w:rPr>
        <w:t>Nicht nur die Häufigkeit und Intensität der Dürreperioden steigen an, auch die Erholungszeit und Vulnerabilität der Bäume hat sich erhöht</w:t>
      </w:r>
      <w:r w:rsidR="00227B0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{"citationItems":[{"id":"ITEM-1","itemData":{"DOI":"10.1038/nature23021","ISSN":"14764687","abstract":"Drought, a recurring phenomenon with major impacts on both human and natural systems, is the most widespread climatic extreme that negatively affects the land carbon sink. Although twentieth-century trends in drought regimes are ambiguous, across many regions more frequent and severe droughts are expected in the twenty-first century. Recovery time - how long an ecosystem requires to revert to its pre-drought functional state - is a critical metric of drought impact. Yet the factors influencing drought recovery and its spatiotemporal patterns at the global scale are largely unknown. Here we analyse three independent datasets of gross primary productivity and show that, across diverse ecosystems, drought recovery times are strongly associated with climate and carbon cycle dynamics, with biodiversity and CO 2 fertilization as secondary factors. Our analysis also provides two key insights into the spatiotemporal patterns of drought recovery time: first, that recovery is longest in the tropics and high northern latitudes (both vulnerable areas of Earth's climate system) and second, that drought impacts (assessed using the area of ecosystems actively recovering and time to recovery) have increased over the twentieth century. If droughts become more frequent, as expected, the time between droughts may become shorter than drought recovery time, leading to permanently damaged ecosystems and widespread degradation of the land carbon sink.","author":[{"dropping-particle":"","family":"Schwalm","given":"Christopher R.","non-dropping-particle":"","parse-names":false,"suffix":""},{"dropping-particle":"","family":"Anderegg","given":"William R.L.","non-dropping-particle":"","parse-names":false,"suffix":""},{"dropping-particle":"","family":"Michalak","given":"Anna M.","non-dropping-particle":"","parse-names":false,"suffix":""},{"dropping-particle":"","family":"Fisher","given":"Joshua B.","non-dropping-particle":"","parse-names":false,"suffix":""},{"dropping-particle":"","family":"Biondi","given":"Franco","non-dropping-particle":"","parse-names":false,"suffix":""},{"dropping-particle":"","family":"Koch","given":"George","non-dropping-particle":"","parse-names":false,"suffix":""},{"dropping-particle":"","family":"Litvak","given":"Marcy","non-dropping-particle":"","parse-names":false,"suffix":""},{"dropping-particle":"","family":"Ogle","given":"Kiona","non-dropping-particle":"","parse-names":false,"suffix":""},{"dropping-particle":"","family":"Shaw","given":"John D.","non-dropping-particle":"","parse-names":false,"suffix":""},{"dropping-particle":"","family":"Wolf","given":"Adam","non-dropping-particle":"","parse-names":false,"suffix":""},{"dropping-particle":"","family":"Huntzinger","given":"Deborah N.","non-dropping-particle":"","parse-names":false,"suffix":""},{"dropping-particle":"","family":"Schaefer","given":"Kevin","non-dropping-particle":"","parse-names":false,"suffix":""},{"dropping-particle":"","family":"Cook","given":"Robert","non-dropping-particle":"","parse-names":false,"suffix":""},{"dropping-particle":"","family":"Wei","given":"Yaxing","non-dropping-particle":"","parse-names":false,"suffix":""},{"dropping-particle":"","family":"Fang","given":"Yuanyuan","non-dropping-particle":"","parse-names":false,"suffix":""},{"dropping-particle":"","family":"Hayes","given":"Daniel","non-dropping-particle":"","parse-names":false,"suffix":""},{"dropping-particle":"","family":"Huang","given":"Maoyi","non-dropping-particle":"","parse-names":false,"suffix":""},{"dropping-particle":"","family":"Jain","given":"Atul","non-dropping-particle":"","parse-names":false,"suffix":""},{"dropping-particle":"","family":"Tian","given":"Hanqin","non-dropping-particle":"","parse-names":false,"suffix":""}],"container-title":"Nature","id":"ITEM-1","issue":"7666","issued":{"date-parts":[["2017","8","9"]]},"note":"à       Erholungszeit nach Dürre div. Ökosysteme anhand GPP    Statistische Auswertung        (Längere und intensivere Dürreperioden)  \nà       Erholungszeit nimmt zu \nà       Vulnerabilität bezgl. Dürre nimmt zu, besonders lang an Polen und Äquator, land carbon sink!","page":"202-205","publisher":"Nature Publishing Group","title":"Global patterns of drought recovery","type":"article-journal","volume":"548"},"uris":["http://www.mendeley.com/documents/?uuid=6cea3abb-af13-36b2-9161-70c460225ff6"]}],"mendeley":{"formattedCitation":"&lt;sup&gt;4&lt;/sup&gt;","plainTextFormattedCitation":"4","previouslyFormattedCitation":"&lt;sup&gt;4&lt;/sup&gt;"},"properties":{"noteIndex":0},"schema":"https://github.com/citation-style-language/schema/raw/master/csl-citation.json"}</w:instrText>
      </w:r>
      <w:r w:rsidR="00227B0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4</w:t>
      </w:r>
      <w:r w:rsidR="00227B0B">
        <w:rPr>
          <w:rFonts w:eastAsia="Times New Roman" w:cs="Times New Roman"/>
          <w:bCs/>
          <w:color w:val="000000" w:themeColor="text1"/>
          <w:lang w:val="de-CH" w:eastAsia="de-DE"/>
        </w:rPr>
        <w:fldChar w:fldCharType="end"/>
      </w:r>
      <w:r w:rsidR="005A61F7">
        <w:rPr>
          <w:rFonts w:eastAsia="Times New Roman" w:cs="Times New Roman"/>
          <w:bCs/>
          <w:color w:val="000000" w:themeColor="text1"/>
          <w:lang w:val="de-CH" w:eastAsia="de-DE"/>
        </w:rPr>
        <w:t>.</w:t>
      </w:r>
      <w:r w:rsidRPr="0042406D">
        <w:rPr>
          <w:rFonts w:eastAsia="Times New Roman" w:cs="Times New Roman"/>
          <w:bCs/>
          <w:color w:val="000000" w:themeColor="text1"/>
          <w:lang w:val="de-CH" w:eastAsia="de-DE"/>
        </w:rPr>
        <w:t xml:space="preserve"> Die Resistenz gegenüber Dürre und die Erholungsfähigkeit nach einer Dürreperiode eines Baumes ist vor allem abhängig von der Funktionsfähigkeit seines Wasser-Transportsystems</w:t>
      </w:r>
      <w:r w:rsidR="00227B0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{"citationItems":[{"id":"ITEM-1","itemData":{"DOI":"10.1038/s41586-018-0539-7","ISSN":"14764687","abstract":"Plants influence the atmosphere through fluxes of carbon, water and energy 1 , and can intensify drought through land–atmosphere feedback effects 2–4 . The diversity of plant functional traits in forests, especially physiological traits related to water (hydraulic) transport, may have a critical role in land–atmosphere feedback, particularly during drought. Here we combine 352 site-years of eddy covariance measurements from 40 forest sites, remote-sensing observations of plant water content and plant functional-trait data to test whether the diversity in plant traits affects the response of the ecosystem to drought. We find evidence that higher hydraulic diversity buffers variation in ecosystem flux during dry periods across temperate and boreal forests. Hydraulic traits were the predominant significant predictors of cross-site patterns in drought response. By contrast, standard leaf and wood traits, such as specific leaf area and wood density, had little explanatory power. Our results demonstrate that diversity in the hydraulic traits of trees mediates ecosystem resilience to drought and is likely to have an important role in future ecosystem–atmosphere feedback effects in a changing climate.","author":[{"dropping-particle":"","family":"Anderegg","given":"William R.L.","non-dropping-particle":"","parse-names":false,"suffix":""},{"dropping-particle":"","family":"Konings","given":"Alexandra G.","non-dropping-particle":"","parse-names":false,"suffix":""},{"dropping-particle":"","family":"Trugman","given":"Anna T.","non-dropping-particle":"","parse-names":false,"suffix":""},{"dropping-particle":"","family":"Yu","given":"Kailiang","non-dropping-particle":"","parse-names":false,"suffix":""},{"dropping-particle":"","family":"Bowling","given":"David R.","non-dropping-particle":"","parse-names":false,"suffix":""},{"dropping-particle":"","family":"Gabbitas","given":"Robert","non-dropping-particle":"","parse-names":false,"suffix":""},{"dropping-particle":"","family":"Karp","given":"Daniel S.","non-dropping-particle":"","parse-names":false,"suffix":""},{"dropping-particle":"","family":"Pacala","given":"Stephen","non-dropping-particle":"","parse-names":false,"suffix":""},{"dropping-particle":"","family":"Sperry","given":"John S.","non-dropping-particle":"","parse-names":false,"suffix":""},{"dropping-particle":"","family":"Sulman","given":"Benjamin N.","non-dropping-particle":"","parse-names":false,"suffix":""},{"dropping-particle":"","family":"Zenes","given":"Nicole","non-dropping-particle":"","parse-names":false,"suffix":""}],"container-title":"Nature","id":"ITEM-1","issue":"7724","issued":{"date-parts":[["2018","9","27"]]},"note":"à       Einfluss v. div. (hydr.) Pflanzeneigenschaften auf Reaktion v. Ökosystemen auf Dürre \nà       Statistische Auswertung \nà       Hohe Pflanzendiv. im Wald = Stabilität &amp;amp; div. Eigenschaften (v.a. H2O-Transport-Syst., (oft hoch in mittel bis boreale Wälder)) = schnellere Erholung","page":"538-541","publisher":"Nature Publishing Group","title":"Hydraulic diversity of forests regulates ecosystem resilience during drought","type":"article","volume":"561"},"uris":["http://www.mendeley.com/documents/?uuid=f6c847e2-6776-3502-bd3c-845a92cee17c"]}],"mendeley":{"formattedCitation":"&lt;sup&gt;10&lt;/sup&gt;","plainTextFormattedCitation":"10","previouslyFormattedCitation":"&lt;sup&gt;10&lt;/sup&gt;"},"properties":{"noteIndex":0},"schema":"https://github.com/citation-style-language/schema/raw/master/csl-citation.json"}</w:instrText>
      </w:r>
      <w:r w:rsidR="00227B0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10</w:t>
      </w:r>
      <w:r w:rsidR="00227B0B">
        <w:rPr>
          <w:rFonts w:eastAsia="Times New Roman" w:cs="Times New Roman"/>
          <w:bCs/>
          <w:color w:val="000000" w:themeColor="text1"/>
          <w:lang w:val="de-CH" w:eastAsia="de-DE"/>
        </w:rPr>
        <w:fldChar w:fldCharType="end"/>
      </w:r>
      <w:r w:rsidR="005A61F7">
        <w:rPr>
          <w:rFonts w:eastAsia="Times New Roman" w:cs="Times New Roman"/>
          <w:bCs/>
          <w:color w:val="000000" w:themeColor="text1"/>
          <w:lang w:val="de-CH" w:eastAsia="de-DE"/>
        </w:rPr>
        <w:t>.</w:t>
      </w:r>
      <w:r w:rsidRPr="0042406D">
        <w:rPr>
          <w:rFonts w:eastAsia="Times New Roman" w:cs="Times New Roman"/>
          <w:bCs/>
          <w:color w:val="000000" w:themeColor="text1"/>
          <w:lang w:val="de-CH" w:eastAsia="de-DE"/>
        </w:rPr>
        <w:t xml:space="preserve"> Dieses wiederum steht im Zusammenhang mit seiner Klasse</w:t>
      </w:r>
      <w:r w:rsidR="00227B0B">
        <w:rPr>
          <w:rFonts w:eastAsia="Times New Roman" w:cs="Times New Roman"/>
          <w:bCs/>
          <w:color w:val="000000" w:themeColor="text1"/>
          <w:lang w:val="de-CH" w:eastAsia="de-DE"/>
        </w:rPr>
        <w:fldChar w:fldCharType="begin" w:fldLock="1"/>
      </w:r>
      <w:r w:rsidR="0090638A">
        <w:rPr>
          <w:rFonts w:eastAsia="Times New Roman" w:cs="Times New Roman"/>
          <w:bCs/>
          <w:color w:val="000000" w:themeColor="text1"/>
          <w:lang w:val="de-CH" w:eastAsia="de-DE"/>
        </w:rPr>
        <w:instrText>ADDIN CSL_CITATION {"citationItems":[{"id":"ITEM-1","itemData":{"DOI":"10.1038/s41467-020-14300-5","ISSN":"20411723","abstract":"Severe droughts have the potential to reduce forest productivity and trigger tree mortality. Most trees face several drought events during their life and therefore resilience to dry conditions may be crucial to long-term survival. We assessed how growth resilience to severe droughts, including its components resistance and recovery, is related to the ability to survive future droughts by using a tree-ring database of surviving and now-dead trees from 118 sites (22 species, &gt;3,500 trees). We found that, across the variety of regions and species sampled, trees that died during water shortages were less resilient to previous non-lethal droughts, relative to coexisting surviving trees of the same species. In angiosperms, drought-related mortality risk is associated with lower resistance (low capacity to reduce impact of the initial drought), while it is related to reduced recovery (low capacity to attain pre-drought growth rates) in gymnosperms. The different resilience strategies in these two taxonomic groups open new avenues to improve our understanding and prediction of drought-induced mortality.","author":[{"dropping-particle":"","family":"DeSoto","given":"Lucía","non-dropping-particle":"","parse-names":false,"suffix":""},{"dropping-particle":"","family":"Cailleret","given":"Maxime","non-dropping-particle":"","parse-names":false,"suffix":""},{"dropping-particle":"","family":"Sterck","given":"Frank","non-dropping-particle":"","parse-names":false,"suffix":""},{"dropping-particle":"","family":"Jansen","given":"Steven","non-dropping-particle":"","parse-names":false,"suffix":""},{"dropping-particle":"","family":"Kramer","given":"Koen","non-dropping-particle":"","parse-names":false,"suffix":""},{"dropping-particle":"","family":"Robert","given":"Elisabeth M.R.","non-dropping-particle":"","parse-names":false,"suffix":""},{"dropping-particle":"","family":"Aakala","given":"Tuomas","non-dropping-particle":"","parse-names":false,"suffix":""},{"dropping-particle":"","family":"Amoroso","given":"Mariano M.","non-dropping-particle":"","parse-names":false,"suffix":""},{"dropping-particle":"","family":"Bigler","given":"Christof","non-dropping-particle":"","parse-names":false,"suffix":""},{"dropping-particle":"","family":"Camarero","given":"J. Julio","non-dropping-particle":"","parse-names":false,"suffix":""},{"dropping-particle":"","family":"Čufar","given":"Katarina","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J.","non-dropping-particle":"","parse-names":false,"suffix":""},{"dropping-particle":"","family":"Hereş","given":"Ana Maria","non-dropping-particle":"","parse-names":false,"suffix":""},{"dropping-particle":"","family":"Kane","given":"Jeffrey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Levanič","given":"Tom","non-dropping-particle":"","parse-names":false,"suffix":""},{"dropping-particle":"","family":"Linares","given":"Juan C.","non-dropping-particle":"","parse-names":false,"suffix":""},{"dropping-particle":"","family":"Mäkinen","given":"Harri","non-dropping-particle":"","parse-names":false,"suffix":""},{"dropping-particle":"","family":"Oberhuber","given":"Walter","non-dropping-particle":"","parse-names":false,"suffix":""},{"dropping-particle":"","family":"Papadopoulos","given":"Andreas","non-dropping-particle":"","parse-names":false,"suffix":""},{"dropping-particle":"","family":"Rohner","given":"Brigitte","non-dropping-particle":"","parse-names":false,"suffix":""},{"dropping-particle":"","family":"Sangüesa-Barreda","given":"Gabriel","non-dropping-particle":"","parse-names":false,"suffix":""},{"dropping-particle":"","family":"Stojanovic","given":"Dejan B.","non-dropping-particle":"","parse-names":false,"suffix":""},{"dropping-particle":"","family":"Suárez","given":"Maria Laura","non-dropping-particle":"","parse-names":false,"suffix":""},{"dropping-particle":"","family":"Villalba","given":"Ricardo","non-dropping-particle":"","parse-names":false,"suffix":""},{"dropping-particle":"","family":"Martínez-Vilalta","given":"Jordi","non-dropping-particle":"","parse-names":false,"suffix":""}],"container-title":"Nature Communications","id":"ITEM-1","issue":"1","issued":{"date-parts":[["2020","12","1"]]},"note":"à       Dickenwachstums-Resilienz bei Dürre-Perioden in Zusammenhang mit Fähigkeit zukünft. Dürre zu überleben \nà       Jahrringanalyse (toter und überlebender Bäume) \nà       Angiosp. tiefere Resistenz, Gymnosp. reduzierte Erholung, Bodenfruchtbarkeit, Baumreaktion auf Dürre, Baumgrösse","publisher":"Nature Research","title":"Low growth resilience to drought is related to future mortality risk in trees","type":"article-journal","volume":"11"},"uris":["http://www.mendeley.com/documents/?uuid=620a2828-cd97-3fd5-b162-7b5a2b07a744"]}],"mendeley":{"formattedCitation":"&lt;sup&gt;28&lt;/sup&gt;","plainTextFormattedCitation":"28","previouslyFormattedCitation":"&lt;sup&gt;28&lt;/sup&gt;"},"properties":{"noteIndex":0},"schema":"https://github.com/citation-style-language/schema/raw/master/csl-citation.json"}</w:instrText>
      </w:r>
      <w:r w:rsidR="00227B0B">
        <w:rPr>
          <w:rFonts w:eastAsia="Times New Roman" w:cs="Times New Roman"/>
          <w:bCs/>
          <w:color w:val="000000" w:themeColor="text1"/>
          <w:lang w:val="de-CH" w:eastAsia="de-DE"/>
        </w:rPr>
        <w:fldChar w:fldCharType="separate"/>
      </w:r>
      <w:r w:rsidR="0090638A" w:rsidRPr="0090638A">
        <w:rPr>
          <w:rFonts w:eastAsia="Times New Roman" w:cs="Times New Roman"/>
          <w:bCs/>
          <w:noProof/>
          <w:color w:val="000000" w:themeColor="text1"/>
          <w:vertAlign w:val="superscript"/>
          <w:lang w:val="de-CH" w:eastAsia="de-DE"/>
        </w:rPr>
        <w:t>28</w:t>
      </w:r>
      <w:r w:rsidR="00227B0B">
        <w:rPr>
          <w:rFonts w:eastAsia="Times New Roman" w:cs="Times New Roman"/>
          <w:bCs/>
          <w:color w:val="000000" w:themeColor="text1"/>
          <w:lang w:val="de-CH" w:eastAsia="de-DE"/>
        </w:rPr>
        <w:fldChar w:fldCharType="end"/>
      </w:r>
      <w:r w:rsidRPr="0042406D">
        <w:rPr>
          <w:rFonts w:eastAsia="Times New Roman" w:cs="Times New Roman"/>
          <w:bCs/>
          <w:color w:val="000000" w:themeColor="text1"/>
          <w:lang w:val="de-CH" w:eastAsia="de-DE"/>
        </w:rPr>
        <w:t>, seiner Art</w:t>
      </w:r>
      <w:r w:rsidR="00031D9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{"citationItems":[{"id":"ITEM-1","itemData":{"DOI":"10.1038/s41586-018-0539-7","ISSN":"14764687","abstract":"Plants influence the atmosphere through fluxes of carbon, water and energy 1 , and can intensify drought through land–atmosphere feedback effects 2–4 . The diversity of plant functional traits in forests, especially physiological traits related to water (hydraulic) transport, may have a critical role in land–atmosphere feedback, particularly during drought. Here we combine 352 site-years of eddy covariance measurements from 40 forest sites, remote-sensing observations of plant water content and plant functional-trait data to test whether the diversity in plant traits affects the response of the ecosystem to drought. We find evidence that higher hydraulic diversity buffers variation in ecosystem flux during dry periods across temperate and boreal forests. Hydraulic traits were the predominant significant predictors of cross-site patterns in drought response. By contrast, standard leaf and wood traits, such as specific leaf area and wood density, had little explanatory power. Our results demonstrate that diversity in the hydraulic traits of trees mediates ecosystem resilience to drought and is likely to have an important role in future ecosystem–atmosphere feedback effects in a changing climate.","author":[{"dropping-particle":"","family":"Anderegg","given":"William R.L.","non-dropping-particle":"","parse-names":false,"suffix":""},{"dropping-particle":"","family":"Konings","given":"Alexandra G.","non-dropping-particle":"","parse-names":false,"suffix":""},{"dropping-particle":"","family":"Trugman","given":"Anna T.","non-dropping-particle":"","parse-names":false,"suffix":""},{"dropping-particle":"","family":"Yu","given":"Kailiang","non-dropping-particle":"","parse-names":false,"suffix":""},{"dropping-particle":"","family":"Bowling","given":"David R.","non-dropping-particle":"","parse-names":false,"suffix":""},{"dropping-particle":"","family":"Gabbitas","given":"Robert","non-dropping-particle":"","parse-names":false,"suffix":""},{"dropping-particle":"","family":"Karp","given":"Daniel S.","non-dropping-particle":"","parse-names":false,"suffix":""},{"dropping-particle":"","family":"Pacala","given":"Stephen","non-dropping-particle":"","parse-names":false,"suffix":""},{"dropping-particle":"","family":"Sperry","given":"John S.","non-dropping-particle":"","parse-names":false,"suffix":""},{"dropping-particle":"","family":"Sulman","given":"Benjamin N.","non-dropping-particle":"","parse-names":false,"suffix":""},{"dropping-particle":"","family":"Zenes","given":"Nicole","non-dropping-particle":"","parse-names":false,"suffix":""}],"container-title":"Nature","id":"ITEM-1","issue":"7724","issued":{"date-parts":[["2018","9","27"]]},"note":"à       Einfluss v. div. (hydr.) Pflanzeneigenschaften auf Reaktion v. Ökosystemen auf Dürre \nà       Statistische Auswertung \nà       Hohe Pflanzendiv. im Wald = Stabilität &amp;amp; div. Eigenschaften (v.a. H2O-Transport-Syst., (oft hoch in mittel bis boreale Wälder)) = schnellere Erholung","page":"538-541","publisher":"Nature Publishing Group","title":"Hydraulic diversity of forests regulates ecosystem resilience during drought","type":"article","volume":"561"},"uris":["http://www.mendeley.com/documents/?uuid=f6c847e2-6776-3502-bd3c-845a92cee17c"]}],"mendeley":{"formattedCitation":"&lt;sup&gt;10&lt;/sup&gt;","plainTextFormattedCitation":"10","previouslyFormattedCitation":"&lt;sup&gt;10&lt;/sup&gt;"},"properties":{"noteIndex":0},"schema":"https://github.com/citation-style-language/schema/raw/master/csl-citation.json"}</w:instrText>
      </w:r>
      <w:r w:rsidR="00031D9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10</w:t>
      </w:r>
      <w:r w:rsidR="00031D9B">
        <w:rPr>
          <w:rFonts w:eastAsia="Times New Roman" w:cs="Times New Roman"/>
          <w:bCs/>
          <w:color w:val="000000" w:themeColor="text1"/>
          <w:lang w:val="de-CH" w:eastAsia="de-DE"/>
        </w:rPr>
        <w:fldChar w:fldCharType="end"/>
      </w:r>
      <w:r w:rsidRPr="0042406D">
        <w:rPr>
          <w:rFonts w:eastAsia="Times New Roman" w:cs="Times New Roman"/>
          <w:bCs/>
          <w:color w:val="000000" w:themeColor="text1"/>
          <w:lang w:val="de-CH" w:eastAsia="de-DE"/>
        </w:rPr>
        <w:t>, seiner Höhe</w:t>
      </w:r>
      <w:r w:rsidR="00031D9B">
        <w:rPr>
          <w:rFonts w:eastAsia="Times New Roman" w:cs="Times New Roman"/>
          <w:bCs/>
          <w:color w:val="000000" w:themeColor="text1"/>
          <w:lang w:val="de-CH" w:eastAsia="de-DE"/>
        </w:rPr>
        <w:fldChar w:fldCharType="begin" w:fldLock="1"/>
      </w:r>
      <w:r w:rsidR="0090638A">
        <w:rPr>
          <w:rFonts w:eastAsia="Times New Roman" w:cs="Times New Roman"/>
          <w:bCs/>
          <w:color w:val="000000" w:themeColor="text1"/>
          <w:lang w:val="de-CH" w:eastAsia="de-DE"/>
        </w:rPr>
        <w:instrText>ADDIN CSL_CITATION {"citationItems":[{"id":"ITEM-1","itemData":{"DOI":"10.1038/s41467-020-14300-5","ISSN":"20411723","abstract":"Severe droughts have the potential to reduce forest productivity and trigger tree mortality. Most trees face several drought events during their life and therefore resilience to dry conditions may be crucial to long-term survival. We assessed how growth resilience to severe droughts, including its components resistance and recovery, is related to the ability to survive future droughts by using a tree-ring database of surviving and now-dead trees from 118 sites (22 species, &gt;3,500 trees). We found that, across the variety of regions and species sampled, trees that died during water shortages were less resilient to previous non-lethal droughts, relative to coexisting surviving trees of the same species. In angiosperms, drought-related mortality risk is associated with lower resistance (low capacity to reduce impact of the initial drought), while it is related to reduced recovery (low capacity to attain pre-drought growth rates) in gymnosperms. The different resilience strategies in these two taxonomic groups open new avenues to improve our understanding and prediction of drought-induced mortality.","author":[{"dropping-particle":"","family":"DeSoto","given":"Lucía","non-dropping-particle":"","parse-names":false,"suffix":""},{"dropping-particle":"","family":"Cailleret","given":"Maxime","non-dropping-particle":"","parse-names":false,"suffix":""},{"dropping-particle":"","family":"Sterck","given":"Frank","non-dropping-particle":"","parse-names":false,"suffix":""},{"dropping-particle":"","family":"Jansen","given":"Steven","non-dropping-particle":"","parse-names":false,"suffix":""},{"dropping-particle":"","family":"Kramer","given":"Koen","non-dropping-particle":"","parse-names":false,"suffix":""},{"dropping-particle":"","family":"Robert","given":"Elisabeth M.R.","non-dropping-particle":"","parse-names":false,"suffix":""},{"dropping-particle":"","family":"Aakala","given":"Tuomas","non-dropping-particle":"","parse-names":false,"suffix":""},{"dropping-particle":"","family":"Amoroso","given":"Mariano M.","non-dropping-particle":"","parse-names":false,"suffix":""},{"dropping-particle":"","family":"Bigler","given":"Christof","non-dropping-particle":"","parse-names":false,"suffix":""},{"dropping-particle":"","family":"Camarero","given":"J. Julio","non-dropping-particle":"","parse-names":false,"suffix":""},{"dropping-particle":"","family":"Čufar","given":"Katarina","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J.","non-dropping-particle":"","parse-names":false,"suffix":""},{"dropping-particle":"","family":"Hereş","given":"Ana Maria","non-dropping-particle":"","parse-names":false,"suffix":""},{"dropping-particle":"","family":"Kane","given":"Jeffrey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Levanič","given":"Tom","non-dropping-particle":"","parse-names":false,"suffix":""},{"dropping-particle":"","family":"Linares","given":"Juan C.","non-dropping-particle":"","parse-names":false,"suffix":""},{"dropping-particle":"","family":"Mäkinen","given":"Harri","non-dropping-particle":"","parse-names":false,"suffix":""},{"dropping-particle":"","family":"Oberhuber","given":"Walter","non-dropping-particle":"","parse-names":false,"suffix":""},{"dropping-particle":"","family":"Papadopoulos","given":"Andreas","non-dropping-particle":"","parse-names":false,"suffix":""},{"dropping-particle":"","family":"Rohner","given":"Brigitte","non-dropping-particle":"","parse-names":false,"suffix":""},{"dropping-particle":"","family":"Sangüesa-Barreda","given":"Gabriel","non-dropping-particle":"","parse-names":false,"suffix":""},{"dropping-particle":"","family":"Stojanovic","given":"Dejan B.","non-dropping-particle":"","parse-names":false,"suffix":""},{"dropping-particle":"","family":"Suárez","given":"Maria Laura","non-dropping-particle":"","parse-names":false,"suffix":""},{"dropping-particle":"","family":"Villalba","given":"Ricardo","non-dropping-particle":"","parse-names":false,"suffix":""},{"dropping-particle":"","family":"Martínez-Vilalta","given":"Jordi","non-dropping-particle":"","parse-names":false,"suffix":""}],"container-title":"Nature Communications","id":"ITEM-1","issue":"1","issued":{"date-parts":[["2020","12","1"]]},"note":"à       Dickenwachstums-Resilienz bei Dürre-Perioden in Zusammenhang mit Fähigkeit zukünft. Dürre zu überleben \nà       Jahrringanalyse (toter und überlebender Bäume) \nà       Angiosp. tiefere Resistenz, Gymnosp. reduzierte Erholung, Bodenfruchtbarkeit, Baumreaktion auf Dürre, Baumgrösse","publisher":"Nature Research","title":"Low growth resilience to drought is related to future mortality risk in trees","type":"article-journal","volume":"11"},"uris":["http://www.mendeley.com/documents/?uuid=620a2828-cd97-3fd5-b162-7b5a2b07a744"]}],"mendeley":{"formattedCitation":"&lt;sup&gt;28&lt;/sup&gt;","plainTextFormattedCitation":"28","previouslyFormattedCitation":"&lt;sup&gt;28&lt;/sup&gt;"},"properties":{"noteIndex":0},"schema":"https://github.com/citation-style-language/schema/raw/master/csl-citation.json"}</w:instrText>
      </w:r>
      <w:r w:rsidR="00031D9B">
        <w:rPr>
          <w:rFonts w:eastAsia="Times New Roman" w:cs="Times New Roman"/>
          <w:bCs/>
          <w:color w:val="000000" w:themeColor="text1"/>
          <w:lang w:val="de-CH" w:eastAsia="de-DE"/>
        </w:rPr>
        <w:fldChar w:fldCharType="separate"/>
      </w:r>
      <w:r w:rsidR="0090638A" w:rsidRPr="0090638A">
        <w:rPr>
          <w:rFonts w:eastAsia="Times New Roman" w:cs="Times New Roman"/>
          <w:bCs/>
          <w:noProof/>
          <w:color w:val="000000" w:themeColor="text1"/>
          <w:vertAlign w:val="superscript"/>
          <w:lang w:val="de-CH" w:eastAsia="de-DE"/>
        </w:rPr>
        <w:t>28</w:t>
      </w:r>
      <w:r w:rsidR="00031D9B">
        <w:rPr>
          <w:rFonts w:eastAsia="Times New Roman" w:cs="Times New Roman"/>
          <w:bCs/>
          <w:color w:val="000000" w:themeColor="text1"/>
          <w:lang w:val="de-CH" w:eastAsia="de-DE"/>
        </w:rPr>
        <w:fldChar w:fldCharType="end"/>
      </w:r>
      <w:r w:rsidRPr="0042406D">
        <w:rPr>
          <w:rFonts w:eastAsia="Times New Roman" w:cs="Times New Roman"/>
          <w:bCs/>
          <w:color w:val="000000" w:themeColor="text1"/>
          <w:lang w:val="de-CH" w:eastAsia="de-DE"/>
        </w:rPr>
        <w:t>, seinem Alter</w:t>
      </w:r>
      <w:r w:rsidR="00031D9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Management","id":"ITEM-1","issue":"4","issued":{"date-parts":[["2010","2","5"]]},"note":"à       globaler Überblick zu aktueller Baummortalität wegen klimatischem Wasserstress und warmen Temp. in Wäldern schaffen, Wissenslücken aufzeigen \nà       Literaturrecherche (ab 1970-2009) \nà       Literaturherausgabe nimmt zu, nicht nur in H2O-limitierten Regionen, abh. v. Baumdichte, Zeit, Grösse &amp;amp; Alter","page":"660-684","title":"A global overview of drought and heat-induced tree mortality reveals emerging climate change risks for forests","type":"article-journal","volume":"259"},"uris":["http://www.mendeley.com/documents/?uuid=de0ae999-8499-3d01-ae83-f7c7c3470640"]}],"mendeley":{"formattedCitation":"&lt;sup&gt;1&lt;/sup&gt;","plainTextFormattedCitation":"1","previouslyFormattedCitation":"&lt;sup&gt;1&lt;/sup&gt;"},"properties":{"noteIndex":0},"schema":"https://github.com/citation-style-language/schema/raw/master/csl-citation.json"}</w:instrText>
      </w:r>
      <w:r w:rsidR="00031D9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1</w:t>
      </w:r>
      <w:r w:rsidR="00031D9B">
        <w:rPr>
          <w:rFonts w:eastAsia="Times New Roman" w:cs="Times New Roman"/>
          <w:bCs/>
          <w:color w:val="000000" w:themeColor="text1"/>
          <w:lang w:val="de-CH" w:eastAsia="de-DE"/>
        </w:rPr>
        <w:fldChar w:fldCharType="end"/>
      </w:r>
      <w:r w:rsidRPr="0042406D">
        <w:rPr>
          <w:rFonts w:eastAsia="Times New Roman" w:cs="Times New Roman"/>
          <w:bCs/>
          <w:color w:val="000000" w:themeColor="text1"/>
          <w:lang w:val="de-CH" w:eastAsia="de-DE"/>
        </w:rPr>
        <w:t>, der Qualität des Bodens</w:t>
      </w:r>
      <w:r w:rsidR="00031D9B">
        <w:rPr>
          <w:rFonts w:eastAsia="Times New Roman" w:cs="Times New Roman"/>
          <w:bCs/>
          <w:color w:val="000000" w:themeColor="text1"/>
          <w:lang w:val="de-CH" w:eastAsia="de-DE"/>
        </w:rPr>
        <w:fldChar w:fldCharType="begin" w:fldLock="1"/>
      </w:r>
      <w:r w:rsidR="0090638A">
        <w:rPr>
          <w:rFonts w:eastAsia="Times New Roman" w:cs="Times New Roman"/>
          <w:bCs/>
          <w:color w:val="000000" w:themeColor="text1"/>
          <w:lang w:val="de-CH" w:eastAsia="de-DE"/>
        </w:rPr>
        <w:instrText>ADDIN CSL_CITATION {"citationItems":[{"id":"ITEM-1","itemData":{"DOI":"10.1038/s41467-020-14300-5","ISSN":"20411723","abstract":"Severe droughts have the potential to reduce forest productivity and trigger tree mortality. Most trees face several drought events during their life and therefore resilience to dry conditions may be crucial to long-term survival. We assessed how growth resilience to severe droughts, including its components resistance and recovery, is related to the ability to survive future droughts by using a tree-ring database of surviving and now-dead trees from 118 sites (22 species, &gt;3,500 trees). We found that, across the variety of regions and species sampled, trees that died during water shortages were less resilient to previous non-lethal droughts, relative to coexisting surviving trees of the same species. In angiosperms, drought-related mortality risk is associated with lower resistance (low capacity to reduce impact of the initial drought), while it is related to reduced recovery (low capacity to attain pre-drought growth rates) in gymnosperms. The different resilience strategies in these two taxonomic groups open new avenues to improve our understanding and prediction of drought-induced mortality.","author":[{"dropping-particle":"","family":"DeSoto","given":"Lucía","non-dropping-particle":"","parse-names":false,"suffix":""},{"dropping-particle":"","family":"Cailleret","given":"Maxime","non-dropping-particle":"","parse-names":false,"suffix":""},{"dropping-particle":"","family":"Sterck","given":"Frank","non-dropping-particle":"","parse-names":false,"suffix":""},{"dropping-particle":"","family":"Jansen","given":"Steven","non-dropping-particle":"","parse-names":false,"suffix":""},{"dropping-particle":"","family":"Kramer","given":"Koen","non-dropping-particle":"","parse-names":false,"suffix":""},{"dropping-particle":"","family":"Robert","given":"Elisabeth M.R.","non-dropping-particle":"","parse-names":false,"suffix":""},{"dropping-particle":"","family":"Aakala","given":"Tuomas","non-dropping-particle":"","parse-names":false,"suffix":""},{"dropping-particle":"","family":"Amoroso","given":"Mariano M.","non-dropping-particle":"","parse-names":false,"suffix":""},{"dropping-particle":"","family":"Bigler","given":"Christof","non-dropping-particle":"","parse-names":false,"suffix":""},{"dropping-particle":"","family":"Camarero","given":"J. Julio","non-dropping-particle":"","parse-names":false,"suffix":""},{"dropping-particle":"","family":"Čufar","given":"Katarina","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J.","non-dropping-particle":"","parse-names":false,"suffix":""},{"dropping-particle":"","family":"Hereş","given":"Ana Maria","non-dropping-particle":"","parse-names":false,"suffix":""},{"dropping-particle":"","family":"Kane","given":"Jeffrey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Levanič","given":"Tom","non-dropping-particle":"","parse-names":false,"suffix":""},{"dropping-particle":"","family":"Linares","given":"Juan C.","non-dropping-particle":"","parse-names":false,"suffix":""},{"dropping-particle":"","family":"Mäkinen","given":"Harri","non-dropping-particle":"","parse-names":false,"suffix":""},{"dropping-particle":"","family":"Oberhuber","given":"Walter","non-dropping-particle":"","parse-names":false,"suffix":""},{"dropping-particle":"","family":"Papadopoulos","given":"Andreas","non-dropping-particle":"","parse-names":false,"suffix":""},{"dropping-particle":"","family":"Rohner","given":"Brigitte","non-dropping-particle":"","parse-names":false,"suffix":""},{"dropping-particle":"","family":"Sangüesa-Barreda","given":"Gabriel","non-dropping-particle":"","parse-names":false,"suffix":""},{"dropping-particle":"","family":"Stojanovic","given":"Dejan B.","non-dropping-particle":"","parse-names":false,"suffix":""},{"dropping-particle":"","family":"Suárez","given":"Maria Laura","non-dropping-particle":"","parse-names":false,"suffix":""},{"dropping-particle":"","family":"Villalba","given":"Ricardo","non-dropping-particle":"","parse-names":false,"suffix":""},{"dropping-particle":"","family":"Martínez-Vilalta","given":"Jordi","non-dropping-particle":"","parse-names":false,"suffix":""}],"container-title":"Nature Communications","id":"ITEM-1","issue":"1","issued":{"date-parts":[["2020","12","1"]]},"note":"à       Dickenwachstums-Resilienz bei Dürre-Perioden in Zusammenhang mit Fähigkeit zukünft. Dürre zu überleben \nà       Jahrringanalyse (toter und überlebender Bäume) \nà       Angiosp. tiefere Resistenz, Gymnosp. reduzierte Erholung, Bodenfruchtbarkeit, Baumreaktion auf Dürre, Baumgrösse","publisher":"Nature Research","title":"Low growth resilience to drought is related to future mortality risk in trees","type":"article-journal","volume":"11"},"uris":["http://www.mendeley.com/documents/?uuid=620a2828-cd97-3fd5-b162-7b5a2b07a744"]}],"mendeley":{"formattedCitation":"&lt;sup&gt;28&lt;/sup&gt;","plainTextFormattedCitation":"28","previouslyFormattedCitation":"&lt;sup&gt;28&lt;/sup&gt;"},"properties":{"noteIndex":0},"schema":"https://github.com/citation-style-language/schema/raw/master/csl-citation.json"}</w:instrText>
      </w:r>
      <w:r w:rsidR="00031D9B">
        <w:rPr>
          <w:rFonts w:eastAsia="Times New Roman" w:cs="Times New Roman"/>
          <w:bCs/>
          <w:color w:val="000000" w:themeColor="text1"/>
          <w:lang w:val="de-CH" w:eastAsia="de-DE"/>
        </w:rPr>
        <w:fldChar w:fldCharType="separate"/>
      </w:r>
      <w:r w:rsidR="0090638A" w:rsidRPr="0090638A">
        <w:rPr>
          <w:rFonts w:eastAsia="Times New Roman" w:cs="Times New Roman"/>
          <w:bCs/>
          <w:noProof/>
          <w:color w:val="000000" w:themeColor="text1"/>
          <w:vertAlign w:val="superscript"/>
          <w:lang w:val="de-CH" w:eastAsia="de-DE"/>
        </w:rPr>
        <w:t>28</w:t>
      </w:r>
      <w:r w:rsidR="00031D9B">
        <w:rPr>
          <w:rFonts w:eastAsia="Times New Roman" w:cs="Times New Roman"/>
          <w:bCs/>
          <w:color w:val="000000" w:themeColor="text1"/>
          <w:lang w:val="de-CH" w:eastAsia="de-DE"/>
        </w:rPr>
        <w:fldChar w:fldCharType="end"/>
      </w:r>
      <w:r w:rsidRPr="0042406D">
        <w:rPr>
          <w:rFonts w:eastAsia="Times New Roman" w:cs="Times New Roman"/>
          <w:bCs/>
          <w:color w:val="000000" w:themeColor="text1"/>
          <w:lang w:val="de-CH" w:eastAsia="de-DE"/>
        </w:rPr>
        <w:t>, der Baumdichte</w:t>
      </w:r>
      <w:r w:rsidR="00031D9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Management","id":"ITEM-1","issue":"4","issued":{"date-parts":[["2010","2","5"]]},"note":"à       globaler Überblick zu aktueller Baummortalität wegen klimatischem Wasserstress und warmen Temp. in Wäldern schaffen, Wissenslücken aufzeigen \nà       Literaturrecherche (ab 1970-2009) \nà       Literaturherausgabe nimmt zu, nicht nur in H2O-limitierten Regionen, abh. v. Baumdichte, Zeit, Grösse &amp;amp; Alter","page":"660-684","title":"A global overview of drought and heat-induced tree mortality reveals emerging climate change risks for forests","type":"article-journal","volume":"259"},"uris":["http://www.mendeley.com/documents/?uuid=de0ae999-8499-3d01-ae83-f7c7c3470640"]}],"mendeley":{"formattedCitation":"&lt;sup&gt;1&lt;/sup&gt;","plainTextFormattedCitation":"1","previouslyFormattedCitation":"&lt;sup&gt;1&lt;/sup&gt;"},"properties":{"noteIndex":0},"schema":"https://github.com/citation-style-language/schema/raw/master/csl-citation.json"}</w:instrText>
      </w:r>
      <w:r w:rsidR="00031D9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1</w:t>
      </w:r>
      <w:r w:rsidR="00031D9B">
        <w:rPr>
          <w:rFonts w:eastAsia="Times New Roman" w:cs="Times New Roman"/>
          <w:bCs/>
          <w:color w:val="000000" w:themeColor="text1"/>
          <w:lang w:val="de-CH" w:eastAsia="de-DE"/>
        </w:rPr>
        <w:fldChar w:fldCharType="end"/>
      </w:r>
      <w:r w:rsidRPr="0042406D">
        <w:rPr>
          <w:rFonts w:eastAsia="Times New Roman" w:cs="Times New Roman"/>
          <w:bCs/>
          <w:color w:val="000000" w:themeColor="text1"/>
          <w:lang w:val="de-CH" w:eastAsia="de-DE"/>
        </w:rPr>
        <w:t xml:space="preserve"> in seinem Bestand und dem Eintrittszeitpunkt der Dürr</w:t>
      </w:r>
      <w:r w:rsidR="00031D9B">
        <w:rPr>
          <w:rFonts w:eastAsia="Times New Roman" w:cs="Times New Roman"/>
          <w:bCs/>
          <w:color w:val="000000" w:themeColor="text1"/>
          <w:lang w:val="de-CH" w:eastAsia="de-DE"/>
        </w:rPr>
        <w:t>e</w:t>
      </w:r>
      <w:r w:rsidR="00031D9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Management","id":"ITEM-1","issue":"4","issued":{"date-parts":[["2010","2","5"]]},"note":"à       globaler Überblick zu aktueller Baummortalität wegen klimatischem Wasserstress und warmen Temp. in Wäldern schaffen, Wissenslücken aufzeigen \nà       Literaturrecherche (ab 1970-2009) \nà       Literaturherausgabe nimmt zu, nicht nur in H2O-limitierten Regionen, abh. v. Baumdichte, Zeit, Grösse &amp;amp; Alter","page":"660-684","title":"A global overview of drought and heat-induced tree mortality reveals emerging climate change risks for forests","type":"article-journal","volume":"259"},"uris":["http://www.mendeley.com/documents/?uuid=de0ae999-8499-3d01-ae83-f7c7c3470640"]}],"mendeley":{"formattedCitation":"&lt;sup&gt;1&lt;/sup&gt;","plainTextFormattedCitation":"1","previouslyFormattedCitation":"&lt;sup&gt;1&lt;/sup&gt;"},"properties":{"noteIndex":0},"schema":"https://github.com/citation-style-language/schema/raw/master/csl-citation.json"}</w:instrText>
      </w:r>
      <w:r w:rsidR="00031D9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1</w:t>
      </w:r>
      <w:r w:rsidR="00031D9B">
        <w:rPr>
          <w:rFonts w:eastAsia="Times New Roman" w:cs="Times New Roman"/>
          <w:bCs/>
          <w:color w:val="000000" w:themeColor="text1"/>
          <w:lang w:val="de-CH" w:eastAsia="de-DE"/>
        </w:rPr>
        <w:fldChar w:fldCharType="end"/>
      </w:r>
      <w:r w:rsidR="005A61F7">
        <w:rPr>
          <w:rFonts w:eastAsia="Times New Roman" w:cs="Times New Roman"/>
          <w:bCs/>
          <w:color w:val="000000" w:themeColor="text1"/>
          <w:lang w:val="de-CH" w:eastAsia="de-DE"/>
        </w:rPr>
        <w:t>.</w:t>
      </w:r>
      <w:r w:rsidRPr="0042406D">
        <w:rPr>
          <w:rFonts w:eastAsia="Times New Roman" w:cs="Times New Roman"/>
          <w:bCs/>
          <w:color w:val="000000" w:themeColor="text1"/>
          <w:lang w:val="de-CH" w:eastAsia="de-DE"/>
        </w:rPr>
        <w:t xml:space="preserve"> In einem Wald mit hoher </w:t>
      </w:r>
      <w:proofErr w:type="spellStart"/>
      <w:r w:rsidRPr="0042406D">
        <w:rPr>
          <w:rFonts w:eastAsia="Times New Roman" w:cs="Times New Roman"/>
          <w:bCs/>
          <w:color w:val="000000" w:themeColor="text1"/>
          <w:lang w:val="de-CH" w:eastAsia="de-DE"/>
        </w:rPr>
        <w:t>Pflanzendiversität</w:t>
      </w:r>
      <w:proofErr w:type="spellEnd"/>
      <w:r w:rsidRPr="0042406D">
        <w:rPr>
          <w:rFonts w:eastAsia="Times New Roman" w:cs="Times New Roman"/>
          <w:bCs/>
          <w:color w:val="000000" w:themeColor="text1"/>
          <w:lang w:val="de-CH" w:eastAsia="de-DE"/>
        </w:rPr>
        <w:t xml:space="preserve"> ist auch die Vielfalt an Wasser-Transportsystemen gross und somit auch die Resilienz gegenüber Dürre</w:t>
      </w:r>
      <w:r w:rsidR="00031D9B">
        <w:rPr>
          <w:rFonts w:eastAsia="Times New Roman" w:cs="Times New Roman"/>
          <w:bCs/>
          <w:color w:val="000000" w:themeColor="text1"/>
          <w:lang w:val="de-CH" w:eastAsia="de-DE"/>
        </w:rPr>
        <w:fldChar w:fldCharType="begin" w:fldLock="1"/>
      </w:r>
      <w:r w:rsidR="00D337D8">
        <w:rPr>
          <w:rFonts w:eastAsia="Times New Roman" w:cs="Times New Roman"/>
          <w:bCs/>
          <w:color w:val="000000" w:themeColor="text1"/>
          <w:lang w:val="de-CH" w:eastAsia="de-DE"/>
        </w:rPr>
        <w:instrText>ADDIN CSL_CITATION {"citationItems":[{"id":"ITEM-1","itemData":{"DOI":"10.1038/s41586-018-0539-7","ISSN":"14764687","abstract":"Plants influence the atmosphere through fluxes of carbon, water and energy 1 , and can intensify drought through land–atmosphere feedback effects 2–4 . The diversity of plant functional traits in forests, especially physiological traits related to water (hydraulic) transport, may have a critical role in land–atmosphere feedback, particularly during drought. Here we combine 352 site-years of eddy covariance measurements from 40 forest sites, remote-sensing observations of plant water content and plant functional-trait data to test whether the diversity in plant traits affects the response of the ecosystem to drought. We find evidence that higher hydraulic diversity buffers variation in ecosystem flux during dry periods across temperate and boreal forests. Hydraulic traits were the predominant significant predictors of cross-site patterns in drought response. By contrast, standard leaf and wood traits, such as specific leaf area and wood density, had little explanatory power. Our results demonstrate that diversity in the hydraulic traits of trees mediates ecosystem resilience to drought and is likely to have an important role in future ecosystem–atmosphere feedback effects in a changing climate.","author":[{"dropping-particle":"","family":"Anderegg","given":"William R.L.","non-dropping-particle":"","parse-names":false,"suffix":""},{"dropping-particle":"","family":"Konings","given":"Alexandra G.","non-dropping-particle":"","parse-names":false,"suffix":""},{"dropping-particle":"","family":"Trugman","given":"Anna T.","non-dropping-particle":"","parse-names":false,"suffix":""},{"dropping-particle":"","family":"Yu","given":"Kailiang","non-dropping-particle":"","parse-names":false,"suffix":""},{"dropping-particle":"","family":"Bowling","given":"David R.","non-dropping-particle":"","parse-names":false,"suffix":""},{"dropping-particle":"","family":"Gabbitas","given":"Robert","non-dropping-particle":"","parse-names":false,"suffix":""},{"dropping-particle":"","family":"Karp","given":"Daniel S.","non-dropping-particle":"","parse-names":false,"suffix":""},{"dropping-particle":"","family":"Pacala","given":"Stephen","non-dropping-particle":"","parse-names":false,"suffix":""},{"dropping-particle":"","family":"Sperry","given":"John S.","non-dropping-particle":"","parse-names":false,"suffix":""},{"dropping-particle":"","family":"Sulman","given":"Benjamin N.","non-dropping-particle":"","parse-names":false,"suffix":""},{"dropping-particle":"","family":"Zenes","given":"Nicole","non-dropping-particle":"","parse-names":false,"suffix":""}],"container-title":"Nature","id":"ITEM-1","issue":"7724","issued":{"date-parts":[["2018","9","27"]]},"note":"à       Einfluss v. div. (hydr.) Pflanzeneigenschaften auf Reaktion v. Ökosystemen auf Dürre \nà       Statistische Auswertung \nà       Hohe Pflanzendiv. im Wald = Stabilität &amp;amp; div. Eigenschaften (v.a. H2O-Transport-Syst., (oft hoch in mittel bis boreale Wälder)) = schnellere Erholung","page":"538-541","publisher":"Nature Publishing Group","title":"Hydraulic diversity of forests regulates ecosystem resilience during drought","type":"article","volume":"561"},"uris":["http://www.mendeley.com/documents/?uuid=f6c847e2-6776-3502-bd3c-845a92cee17c"]}],"mendeley":{"formattedCitation":"&lt;sup&gt;10&lt;/sup&gt;","plainTextFormattedCitation":"10","previouslyFormattedCitation":"&lt;sup&gt;10&lt;/sup&gt;"},"properties":{"noteIndex":0},"schema":"https://github.com/citation-style-language/schema/raw/master/csl-citation.json"}</w:instrText>
      </w:r>
      <w:r w:rsidR="00031D9B">
        <w:rPr>
          <w:rFonts w:eastAsia="Times New Roman" w:cs="Times New Roman"/>
          <w:bCs/>
          <w:color w:val="000000" w:themeColor="text1"/>
          <w:lang w:val="de-CH" w:eastAsia="de-DE"/>
        </w:rPr>
        <w:fldChar w:fldCharType="separate"/>
      </w:r>
      <w:r w:rsidR="007E6221" w:rsidRPr="007E6221">
        <w:rPr>
          <w:rFonts w:eastAsia="Times New Roman" w:cs="Times New Roman"/>
          <w:bCs/>
          <w:noProof/>
          <w:color w:val="000000" w:themeColor="text1"/>
          <w:vertAlign w:val="superscript"/>
          <w:lang w:val="de-CH" w:eastAsia="de-DE"/>
        </w:rPr>
        <w:t>10</w:t>
      </w:r>
      <w:r w:rsidR="00031D9B">
        <w:rPr>
          <w:rFonts w:eastAsia="Times New Roman" w:cs="Times New Roman"/>
          <w:bCs/>
          <w:color w:val="000000" w:themeColor="text1"/>
          <w:lang w:val="de-CH" w:eastAsia="de-DE"/>
        </w:rPr>
        <w:fldChar w:fldCharType="end"/>
      </w:r>
      <w:r w:rsidR="005A61F7">
        <w:rPr>
          <w:rFonts w:eastAsia="Times New Roman" w:cs="Times New Roman"/>
          <w:bCs/>
          <w:color w:val="000000" w:themeColor="text1"/>
          <w:lang w:val="de-CH" w:eastAsia="de-DE"/>
        </w:rPr>
        <w:t>.</w:t>
      </w:r>
      <w:r w:rsidRPr="0042406D">
        <w:rPr>
          <w:rFonts w:eastAsia="Times New Roman" w:cs="Times New Roman"/>
          <w:bCs/>
          <w:color w:val="000000" w:themeColor="text1"/>
          <w:lang w:val="de-CH" w:eastAsia="de-DE"/>
        </w:rPr>
        <w:t xml:space="preserve"> Ebenfalls die Bewirtschaftungsform, den Wald in Fragmente zu teilen, kann die Resilienz gegenüber Dürre stärken</w:t>
      </w:r>
      <w:r w:rsidR="00031D9B">
        <w:rPr>
          <w:rFonts w:eastAsia="Times New Roman" w:cs="Times New Roman"/>
          <w:bCs/>
          <w:color w:val="000000" w:themeColor="text1"/>
          <w:lang w:val="en-US" w:eastAsia="de-DE"/>
        </w:rPr>
        <w:fldChar w:fldCharType="begin" w:fldLock="1"/>
      </w:r>
      <w:r w:rsidR="0090638A">
        <w:rPr>
          <w:rFonts w:eastAsia="Times New Roman" w:cs="Times New Roman"/>
          <w:bCs/>
          <w:color w:val="000000" w:themeColor="text1"/>
          <w:lang w:val="en-US" w:eastAsia="de-DE"/>
        </w:rPr>
        <w:instrText>ADDIN CSL_CITATION {"citationItems":[{"id":"ITEM-1","itemData":{"DOI":"10.1016/j.envexpbot.2020.104001","ISSN":"00988472","abstract":"Fragmentation and increased summer drought are two main threats to Mediterranean forests. Forest fragmentation has many negative impacts on forests but could attenuate water stress on Mediterranean species by reducing intraspecific competition or improving soil properties at forest edges. However, little is known about the combined effects of drought and fragmentation on tree functioning. We evaluated the effect of forest fragmentation on tree functioning under severe drought periods in continental holm oak forests (Quercus ilex). We monitored the functional response of focal trees before and during summer drought in two regions of the Iberian Peninsula with contrasting climates. Forest interiors, edges and small forest fragments were compared. Predawn leaf water potential (Ψpd), leaf stomatal conductance to water vapor (gs), maximum leaf photochemical efficiency (Fv/Fm), ground (Fo) and maximum (Fm) fluorescence in dark adapted, fully-developed leaves were assessed in the field. Trees located at forest interiors and edges showed strong stomatal closure and clear symptoms of photochemical inhibition, revealing that the trees were operating at predawn water potential beyond tolerance thresholds. In contrast, trees located in small forest fragments were able to maintain high levels of functionality for all ecophysiological parameters during the drought. These differences in tree functioning among fragments were more noticiable in the driest region. Our results prove that forest fragmentation attenuates drought impacts on tree functioning, and that these positive effects become more important during extremely dry periods. These novel findings are essential for realistic predictions of the functionality of fragmented forests under increasing and more severe droughts.","author":[{"dropping-particle":"","family":"Forner","given":"Alicia","non-dropping-particle":"","parse-names":false,"suffix":""},{"dropping-particle":"","family":"Morán-López","given":"Teresa","non-dropping-particle":"","parse-names":false,"suffix":""},{"dropping-particle":"","family":"Flores-Rentería","given":"Dulce","non-dropping-particle":"","parse-names":false,"suffix":""},{"dropping-particle":"","family":"Aranda","given":"Ismael","non-dropping-particle":"","parse-names":false,"suffix":""},{"dropping-particle":"","family":"Valladares","given":"Fernando","non-dropping-particle":"","parse-names":false,"suffix":""}],"container-title":"Environmental and Experimental Botany","id":"ITEM-1","issued":{"date-parts":[["2020"]]},"note":"à       Einfluss v. Fragmentierung v. Wäldern auf Wirkung v. Dürre \nà       Feldversuch/Monitoring \nà       Bäume in kl. Waldfragmenten bessere Aufrechterhaltung v. ökophysiologischen Parametern währ. Dürre, aber auch viele negative Folgen","publisher":"Elsevier B.V.","title":"Fragmentation reduces severe drought impacts on tree functioning in holm oak forests","type":"article-journal"},"uris":["http://www.mendeley.com/documents/?uuid=1746fc0c-8016-30d9-9fa0-a49d118918fb"]}],"mendeley":{"formattedCitation":"&lt;sup&gt;29&lt;/sup&gt;","plainTextFormattedCitation":"29","previouslyFormattedCitation":"&lt;sup&gt;29&lt;/sup&gt;"},"properties":{"noteIndex":0},"schema":"https://github.com/citation-style-language/schema/raw/master/csl-citation.json"}</w:instrText>
      </w:r>
      <w:r w:rsidR="00031D9B">
        <w:rPr>
          <w:rFonts w:eastAsia="Times New Roman" w:cs="Times New Roman"/>
          <w:bCs/>
          <w:color w:val="000000" w:themeColor="text1"/>
          <w:lang w:val="en-US" w:eastAsia="de-DE"/>
        </w:rPr>
        <w:fldChar w:fldCharType="separate"/>
      </w:r>
      <w:r w:rsidR="0090638A" w:rsidRPr="0090638A">
        <w:rPr>
          <w:rFonts w:eastAsia="Times New Roman" w:cs="Times New Roman"/>
          <w:bCs/>
          <w:noProof/>
          <w:color w:val="000000" w:themeColor="text1"/>
          <w:vertAlign w:val="superscript"/>
          <w:lang w:val="en-US" w:eastAsia="de-DE"/>
        </w:rPr>
        <w:t>29</w:t>
      </w:r>
      <w:r w:rsidR="00031D9B">
        <w:rPr>
          <w:rFonts w:eastAsia="Times New Roman" w:cs="Times New Roman"/>
          <w:bCs/>
          <w:color w:val="000000" w:themeColor="text1"/>
          <w:lang w:val="en-US" w:eastAsia="de-DE"/>
        </w:rPr>
        <w:fldChar w:fldCharType="end"/>
      </w:r>
      <w:r w:rsidR="005A61F7">
        <w:rPr>
          <w:rFonts w:eastAsia="Times New Roman" w:cs="Times New Roman"/>
          <w:bCs/>
          <w:color w:val="000000" w:themeColor="text1"/>
          <w:lang w:val="en-US" w:eastAsia="de-DE"/>
        </w:rPr>
        <w:t>.</w:t>
      </w:r>
    </w:p>
    <w:p w14:paraId="168D65E1" w14:textId="67FDFFD5" w:rsidR="00C41EF7" w:rsidRPr="00266775" w:rsidRDefault="002D08F8" w:rsidP="00C41EF7">
      <w:pPr>
        <w:pStyle w:val="berschrift3"/>
        <w:rPr>
          <w:lang w:val="en-US" w:eastAsia="de-DE"/>
        </w:rPr>
      </w:pPr>
      <w:hyperlink r:id="rId8" w:history="1">
        <w:r w:rsidR="00C41EF7" w:rsidRPr="00266775">
          <w:rPr>
            <w:lang w:val="en-US" w:eastAsia="de-DE"/>
          </w:rPr>
          <w:t>A global overview of drought and heat-induced tree mortality reveals emerging climate change risks for forests</w:t>
        </w:r>
      </w:hyperlink>
      <w:r w:rsidR="00915C0D">
        <w:rPr>
          <w:lang w:val="en-US" w:eastAsia="de-DE"/>
        </w:rPr>
        <w:fldChar w:fldCharType="begin" w:fldLock="1"/>
      </w:r>
      <w:r w:rsidR="00915C0D">
        <w:rPr>
          <w:lang w:val="en-US" w:eastAsia="de-DE"/>
        </w:rPr>
        <w:instrText>ADDIN CSL_CITATION {"citationItems":[{"id":"ITEM-1","itemData":{"DOI":"10.1016/j.foreco.2009.09.001","ISSN":"03781127","abstract":"Greenhouse gas emissions have significantly altered global climate, and will continue to do so in the future. Increases in the frequency, duration, and/or severity of drought and heat stress associated with climate change could fundamentally alter the composition, structure, and biogeography of forests in many regions. Of particular concern are potential increases in tree mortality associated with climate-induced physiological stress and interactions with other climate-mediated processes such as insect outbreaks and wildfire. Despite this risk, existing projections of tree mortality are based on models that lack functionally realistic mortality mechanisms, and there has been no attempt to track observations of climate-driven tree mortality globally. Here we present the first global assessment of recent tree mortality attributed to drought and heat stress. Although episodic mortality occurs in the absence of climate change, studies compiled here suggest that at least some of the world's forested ecosystems already may be responding to climate change and raise concern that forests may become increasingly vulnerable to higher background tree mortality rates and die-off in response to future warming and drought, even in environments that are not normally considered water-limited. This further suggests risks to ecosystem services, including the loss of sequestered forest carbon and associated atmospheric feedbacks. Our review also identifies key information gaps and scientific uncertainties that currently hinder our ability to predict tree mortality in response to climate change and emphasizes the need for a globally coordinated observation system. Overall, our review reveals the potential for amplified tree mortality due to drought and heat in forests worldwide.","author":[{"dropping-particle":"","family":"Allen","given":"Craig D.","non-dropping-particle":"","parse-names":false,"suffix":""},{"dropping-particle":"","family":"Macalady","given":"Alison K.","non-dropping-particle":"","parse-names":false,"suffix":""},{"dropping-particle":"","family":"Chenchouni","given":"Haroun","non-dropping-particle":"","parse-names":false,"suffix":""},{"dropping-particle":"","family":"Bachelet","given":"Dominique","non-dropping-particle":"","parse-names":false,"suffix":""},{"dropping-particle":"","family":"McDowell","given":"Nate","non-dropping-particle":"","parse-names":false,"suffix":""},{"dropping-particle":"","family":"Vennetier","given":"Michel","non-dropping-particle":"","parse-names":false,"suffix":""},{"dropping-particle":"","family":"Kitzberger","given":"Thomas","non-dropping-particle":"","parse-names":false,"suffix":""},{"dropping-particle":"","family":"Rigling","given":"Andreas","non-dropping-particle":"","parse-names":false,"suffix":""},{"dropping-particle":"","family":"Breshears","given":"David D.","non-dropping-particle":"","parse-names":false,"suffix":""},{"dropping-particle":"","family":"Hogg","given":"E. H.(Ted)","non-dropping-particle":"","parse-names":false,"suffix":""},{"dropping-particle":"","family":"Gonzalez","given":"Patrick","non-dropping-particle":"","parse-names":false,"suffix":""},{"dropping-particle":"","family":"Fensham","given":"Rod","non-dropping-particle":"","parse-names":false,"suffix":""},{"dropping-particle":"","family":"Zhang","given":"Zhen","non-dropping-particle":"","parse-names":false,"suffix":""},{"dropping-particle":"","family":"Castro","given":"Jorge","non-dropping-particle":"","parse-names":false,"suffix":""},{"dropping-particle":"","family":"Demidova","given":"Natalia","non-dropping-particle":"","parse-names":false,"suffix":""},{"dropping-particle":"","family":"Lim","given":"Jong Hwan","non-dropping-particle":"","parse-names":false,"suffix":""},{"dropping-particle":"","family":"Allard","given":"Gillian","non-dropping-particle":"","parse-names":false,"suffix":""},{"dropping-particle":"","family":"Running","given":"Steven W.","non-dropping-particle":"","parse-names":false,"suffix":""},{"dropping-particle":"","family":"Semerci","given":"Akkin","non-dropping-particle":"","parse-names":false,"suffix":""},{"dropping-particle":"","family":"Cobb","given":"Neil","non-dropping-particle":"","parse-names":false,"suffix":""}],"container-title":"Forest Ecology and Management","id":"ITEM-1","issue":"4","issued":{"date-parts":[["2010","2","5"]]},"note":"à       globaler Überblick zu aktueller Baummortalität wegen klimatischem Wasserstress und warmen Temp. in Wäldern schaffen, Wissenslücken aufzeigen \nà       Literaturrecherche (ab 1970-2009) \nà       Literaturherausgabe nimmt zu, nicht nur in H2O-limitierten Regionen, abh. v. Baumdichte, Zeit, Grösse &amp;amp; Alter","page":"660-684","title":"A global overview of drought and heat-induced tree mortality reveals emerging climate change risks for forests","type":"article-journal","volume":"259"},"uris":["http://www.mendeley.com/documents/?uuid=de0ae999-8499-3d01-ae83-f7c7c3470640"]}],"mendeley":{"formattedCitation":"&lt;sup&gt;1&lt;/sup&gt;","plainTextFormattedCitation":"1","previouslyFormattedCitation":"&lt;sup&gt;1&lt;/sup&gt;"},"properties":{"noteIndex":0},"schema":"https://github.com/citation-style-language/schema/raw/master/csl-citation.json"}</w:instrText>
      </w:r>
      <w:r w:rsidR="00915C0D">
        <w:rPr>
          <w:lang w:val="en-US" w:eastAsia="de-DE"/>
        </w:rPr>
        <w:fldChar w:fldCharType="separate"/>
      </w:r>
      <w:r w:rsidR="00915C0D" w:rsidRPr="00915C0D">
        <w:rPr>
          <w:noProof/>
          <w:vertAlign w:val="superscript"/>
          <w:lang w:val="en-US" w:eastAsia="de-DE"/>
        </w:rPr>
        <w:t>1</w:t>
      </w:r>
      <w:r w:rsidR="00915C0D">
        <w:rPr>
          <w:lang w:val="en-US" w:eastAsia="de-DE"/>
        </w:rPr>
        <w:fldChar w:fldCharType="end"/>
      </w:r>
    </w:p>
    <w:p w14:paraId="498A20B6" w14:textId="4F190F11" w:rsidR="00C41EF7" w:rsidRPr="005A61F7" w:rsidRDefault="00031D9B" w:rsidP="006E2D8E">
      <w:pPr>
        <w:pStyle w:val="Listenabsatz"/>
        <w:numPr>
          <w:ilvl w:val="0"/>
          <w:numId w:val="4"/>
        </w:numPr>
        <w:jc w:val="both"/>
        <w:textAlignment w:val="baseline"/>
        <w:rPr>
          <w:rFonts w:eastAsia="Times New Roman" w:cs="Times New Roman"/>
          <w:color w:val="000000" w:themeColor="text1"/>
          <w:lang w:val="de-CH" w:eastAsia="de-DE"/>
        </w:rPr>
      </w:pPr>
      <w:r w:rsidRPr="005A61F7">
        <w:rPr>
          <w:lang w:val="de-CH"/>
        </w:rPr>
        <w:t>G</w:t>
      </w:r>
      <w:r w:rsidR="00C41EF7" w:rsidRPr="005A61F7">
        <w:rPr>
          <w:rFonts w:eastAsia="Times New Roman" w:cs="Times New Roman"/>
          <w:color w:val="000000" w:themeColor="text1"/>
          <w:shd w:val="clear" w:color="auto" w:fill="FFFFFF"/>
          <w:lang w:val="de-CH" w:eastAsia="de-DE"/>
        </w:rPr>
        <w:t xml:space="preserve">lobaler Überblick zu aktuell steigender Baummortalität aufgrund klimatischem Wasserstress und warmen </w:t>
      </w:r>
      <w:proofErr w:type="spellStart"/>
      <w:r w:rsidR="00C41EF7" w:rsidRPr="005A61F7">
        <w:rPr>
          <w:rFonts w:eastAsia="Times New Roman" w:cs="Times New Roman"/>
          <w:color w:val="000000" w:themeColor="text1"/>
          <w:shd w:val="clear" w:color="auto" w:fill="FFFFFF"/>
          <w:lang w:val="de-CH" w:eastAsia="de-DE"/>
        </w:rPr>
        <w:t>Temp</w:t>
      </w:r>
      <w:proofErr w:type="spellEnd"/>
      <w:r w:rsidR="00C41EF7" w:rsidRPr="005A61F7">
        <w:rPr>
          <w:rFonts w:eastAsia="Times New Roman" w:cs="Times New Roman"/>
          <w:color w:val="000000" w:themeColor="text1"/>
          <w:shd w:val="clear" w:color="auto" w:fill="FFFFFF"/>
          <w:lang w:val="de-CH" w:eastAsia="de-DE"/>
        </w:rPr>
        <w:t>. in Wäldern, Wissenslücken aufzeigen</w:t>
      </w:r>
    </w:p>
    <w:p w14:paraId="5315B3E4" w14:textId="77777777" w:rsidR="00C41EF7" w:rsidRPr="005A61F7" w:rsidRDefault="00C41EF7" w:rsidP="006E2D8E">
      <w:pPr>
        <w:pStyle w:val="Listenabsatz"/>
        <w:numPr>
          <w:ilvl w:val="0"/>
          <w:numId w:val="4"/>
        </w:numPr>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Literaturrecherche (ab 1970-2009)</w:t>
      </w:r>
    </w:p>
    <w:p w14:paraId="02A32080" w14:textId="77777777" w:rsidR="00C41EF7" w:rsidRPr="005A61F7" w:rsidRDefault="00C41EF7" w:rsidP="006E2D8E">
      <w:pPr>
        <w:pStyle w:val="Listenabsatz"/>
        <w:numPr>
          <w:ilvl w:val="0"/>
          <w:numId w:val="4"/>
        </w:numPr>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 xml:space="preserve">Literaturherausgabe nimmt zu, nicht nur in H2O-limitierten Regionen, </w:t>
      </w:r>
      <w:proofErr w:type="spellStart"/>
      <w:r w:rsidRPr="005A61F7">
        <w:rPr>
          <w:rFonts w:eastAsia="Times New Roman" w:cs="Times New Roman"/>
          <w:color w:val="000000" w:themeColor="text1"/>
          <w:shd w:val="clear" w:color="auto" w:fill="FFFFFF"/>
          <w:lang w:val="de-CH" w:eastAsia="de-DE"/>
        </w:rPr>
        <w:t>abh.</w:t>
      </w:r>
      <w:proofErr w:type="spellEnd"/>
      <w:r w:rsidRPr="005A61F7">
        <w:rPr>
          <w:rFonts w:eastAsia="Times New Roman" w:cs="Times New Roman"/>
          <w:color w:val="000000" w:themeColor="text1"/>
          <w:shd w:val="clear" w:color="auto" w:fill="FFFFFF"/>
          <w:lang w:val="de-CH" w:eastAsia="de-DE"/>
        </w:rPr>
        <w:t xml:space="preserve"> v. Baumdichte, Zeit, Grösse &amp; Alter</w:t>
      </w:r>
    </w:p>
    <w:p w14:paraId="581DF522" w14:textId="6B7B545F" w:rsidR="00C41EF7" w:rsidRPr="00266775" w:rsidRDefault="00C41EF7" w:rsidP="00C41EF7">
      <w:pPr>
        <w:pStyle w:val="berschrift3"/>
        <w:rPr>
          <w:lang w:val="en-US"/>
        </w:rPr>
      </w:pPr>
      <w:r w:rsidRPr="00266775">
        <w:rPr>
          <w:lang w:val="en-US"/>
        </w:rPr>
        <w:t>Global patterns of drought recovery</w:t>
      </w:r>
      <w:r w:rsidR="00915C0D">
        <w:rPr>
          <w:lang w:val="en-US"/>
        </w:rPr>
        <w:fldChar w:fldCharType="begin" w:fldLock="1"/>
      </w:r>
      <w:r w:rsidR="00915C0D">
        <w:rPr>
          <w:lang w:val="en-US"/>
        </w:rPr>
        <w:instrText>ADDIN CSL_CITATION {"citationItems":[{"id":"ITEM-1","itemData":{"DOI":"10.1038/nature23021","ISSN":"14764687","abstract":"Drought, a recurring phenomenon with major impacts on both human and natural systems, is the most widespread climatic extreme that negatively affects the land carbon sink. Although twentieth-century trends in drought regimes are ambiguous, across many regions more frequent and severe droughts are expected in the twenty-first century. Recovery time - how long an ecosystem requires to revert to its pre-drought functional state - is a critical metric of drought impact. Yet the factors influencing drought recovery and its spatiotemporal patterns at the global scale are largely unknown. Here we analyse three independent datasets of gross primary productivity and show that, across diverse ecosystems, drought recovery times are strongly associated with climate and carbon cycle dynamics, with biodiversity and CO 2 fertilization as secondary factors. Our analysis also provides two key insights into the spatiotemporal patterns of drought recovery time: first, that recovery is longest in the tropics and high northern latitudes (both vulnerable areas of Earth's climate system) and second, that drought impacts (assessed using the area of ecosystems actively recovering and time to recovery) have increased over the twentieth century. If droughts become more frequent, as expected, the time between droughts may become shorter than drought recovery time, leading to permanently damaged ecosystems and widespread degradation of the land carbon sink.","author":[{"dropping-particle":"","family":"Schwalm","given":"Christopher R.","non-dropping-particle":"","parse-names":false,"suffix":""},{"dropping-particle":"","family":"Anderegg","given":"William R.L.","non-dropping-particle":"","parse-names":false,"suffix":""},{"dropping-particle":"","family":"Michalak","given":"Anna M.","non-dropping-particle":"","parse-names":false,"suffix":""},{"dropping-particle":"","family":"Fisher","given":"Joshua B.","non-dropping-particle":"","parse-names":false,"suffix":""},{"dropping-particle":"","family":"Biondi","given":"Franco","non-dropping-particle":"","parse-names":false,"suffix":""},{"dropping-particle":"","family":"Koch","given":"George","non-dropping-particle":"","parse-names":false,"suffix":""},{"dropping-particle":"","family":"Litvak","given":"Marcy","non-dropping-particle":"","parse-names":false,"suffix":""},{"dropping-particle":"","family":"Ogle","given":"Kiona","non-dropping-particle":"","parse-names":false,"suffix":""},{"dropping-particle":"","family":"Shaw","given":"John D.","non-dropping-particle":"","parse-names":false,"suffix":""},{"dropping-particle":"","family":"Wolf","given":"Adam","non-dropping-particle":"","parse-names":false,"suffix":""},{"dropping-particle":"","family":"Huntzinger","given":"Deborah N.","non-dropping-particle":"","parse-names":false,"suffix":""},{"dropping-particle":"","family":"Schaefer","given":"Kevin","non-dropping-particle":"","parse-names":false,"suffix":""},{"dropping-particle":"","family":"Cook","given":"Robert","non-dropping-particle":"","parse-names":false,"suffix":""},{"dropping-particle":"","family":"Wei","given":"Yaxing","non-dropping-particle":"","parse-names":false,"suffix":""},{"dropping-particle":"","family":"Fang","given":"Yuanyuan","non-dropping-particle":"","parse-names":false,"suffix":""},{"dropping-particle":"","family":"Hayes","given":"Daniel","non-dropping-particle":"","parse-names":false,"suffix":""},{"dropping-particle":"","family":"Huang","given":"Maoyi","non-dropping-particle":"","parse-names":false,"suffix":""},{"dropping-particle":"","family":"Jain","given":"Atul","non-dropping-particle":"","parse-names":false,"suffix":""},{"dropping-particle":"","family":"Tian","given":"Hanqin","non-dropping-particle":"","parse-names":false,"suffix":""}],"container-title":"Nature","id":"ITEM-1","issue":"7666","issued":{"date-parts":[["2017","8","9"]]},"note":"à       Erholungszeit nach Dürre div. Ökosysteme anhand GPP    Statistische Auswertung        (Längere und intensivere Dürreperioden)  \nà       Erholungszeit nimmt zu \nà       Vulnerabilität bezgl. Dürre nimmt zu, besonders lang an Polen und Äquator, land carbon sink!","page":"202-205","publisher":"Nature Publishing Group","title":"Global patterns of drought recovery","type":"article-journal","volume":"548"},"uris":["http://www.mendeley.com/documents/?uuid=6cea3abb-af13-36b2-9161-70c460225ff6"]}],"mendeley":{"formattedCitation":"&lt;sup&gt;4&lt;/sup&gt;","plainTextFormattedCitation":"4","previouslyFormattedCitation":"&lt;sup&gt;4&lt;/sup&gt;"},"properties":{"noteIndex":0},"schema":"https://github.com/citation-style-language/schema/raw/master/csl-citation.json"}</w:instrText>
      </w:r>
      <w:r w:rsidR="00915C0D">
        <w:rPr>
          <w:lang w:val="en-US"/>
        </w:rPr>
        <w:fldChar w:fldCharType="separate"/>
      </w:r>
      <w:r w:rsidR="00915C0D" w:rsidRPr="00915C0D">
        <w:rPr>
          <w:noProof/>
          <w:vertAlign w:val="superscript"/>
          <w:lang w:val="en-US"/>
        </w:rPr>
        <w:t>4</w:t>
      </w:r>
      <w:r w:rsidR="00915C0D">
        <w:rPr>
          <w:lang w:val="en-US"/>
        </w:rPr>
        <w:fldChar w:fldCharType="end"/>
      </w:r>
    </w:p>
    <w:p w14:paraId="1051F657" w14:textId="0F63F09F" w:rsidR="00C41EF7" w:rsidRPr="005A61F7" w:rsidRDefault="00C41EF7" w:rsidP="006E2D8E">
      <w:pPr>
        <w:pStyle w:val="Listenabsatz"/>
        <w:numPr>
          <w:ilvl w:val="0"/>
          <w:numId w:val="5"/>
        </w:numPr>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lang w:val="de-CH" w:eastAsia="de-DE"/>
        </w:rPr>
        <w:t>Erholungszeit nach Dürre div. Ökosysteme anhand GPP</w:t>
      </w:r>
    </w:p>
    <w:p w14:paraId="33642B0B" w14:textId="77777777" w:rsidR="00C41EF7" w:rsidRPr="005A61F7" w:rsidRDefault="00C41EF7" w:rsidP="006E2D8E">
      <w:pPr>
        <w:pStyle w:val="Listenabsatz"/>
        <w:numPr>
          <w:ilvl w:val="0"/>
          <w:numId w:val="5"/>
        </w:numPr>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lang w:val="de-CH" w:eastAsia="de-DE"/>
        </w:rPr>
        <w:t xml:space="preserve">Statistische Auswertung  </w:t>
      </w:r>
    </w:p>
    <w:p w14:paraId="4196FABD" w14:textId="78156ECE" w:rsidR="00C41EF7" w:rsidRPr="005A61F7" w:rsidRDefault="00C41EF7" w:rsidP="006E2D8E">
      <w:pPr>
        <w:pStyle w:val="Listenabsatz"/>
        <w:numPr>
          <w:ilvl w:val="0"/>
          <w:numId w:val="5"/>
        </w:numPr>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lang w:val="de-CH" w:eastAsia="de-DE"/>
        </w:rPr>
        <w:t xml:space="preserve">(Längere und intensivere Dürreperioden) = Erholungszeit nimmt zu = Vulnerabilität bezgl. Dürre nimmt zu, besonders lang an Polen und Äquator, </w:t>
      </w:r>
      <w:proofErr w:type="spellStart"/>
      <w:r w:rsidRPr="005A61F7">
        <w:rPr>
          <w:rFonts w:eastAsia="Times New Roman" w:cs="Times New Roman"/>
          <w:color w:val="000000" w:themeColor="text1"/>
          <w:lang w:val="de-CH" w:eastAsia="de-DE"/>
        </w:rPr>
        <w:t>land</w:t>
      </w:r>
      <w:proofErr w:type="spellEnd"/>
      <w:r w:rsidRPr="005A61F7">
        <w:rPr>
          <w:rFonts w:eastAsia="Times New Roman" w:cs="Times New Roman"/>
          <w:color w:val="000000" w:themeColor="text1"/>
          <w:lang w:val="de-CH" w:eastAsia="de-DE"/>
        </w:rPr>
        <w:t xml:space="preserve"> </w:t>
      </w:r>
      <w:proofErr w:type="spellStart"/>
      <w:r w:rsidRPr="005A61F7">
        <w:rPr>
          <w:rFonts w:eastAsia="Times New Roman" w:cs="Times New Roman"/>
          <w:color w:val="000000" w:themeColor="text1"/>
          <w:lang w:val="de-CH" w:eastAsia="de-DE"/>
        </w:rPr>
        <w:t>carbon</w:t>
      </w:r>
      <w:proofErr w:type="spellEnd"/>
      <w:r w:rsidRPr="005A61F7">
        <w:rPr>
          <w:rFonts w:eastAsia="Times New Roman" w:cs="Times New Roman"/>
          <w:color w:val="000000" w:themeColor="text1"/>
          <w:lang w:val="de-CH" w:eastAsia="de-DE"/>
        </w:rPr>
        <w:t xml:space="preserve"> sink!</w:t>
      </w:r>
    </w:p>
    <w:p w14:paraId="1F41CAE7" w14:textId="2CBDE95B" w:rsidR="00C41EF7" w:rsidRPr="00266775" w:rsidRDefault="00C41EF7" w:rsidP="00C41EF7">
      <w:pPr>
        <w:pStyle w:val="berschrift3"/>
        <w:rPr>
          <w:lang w:val="en-US"/>
        </w:rPr>
      </w:pPr>
      <w:r w:rsidRPr="00266775">
        <w:rPr>
          <w:lang w:val="en-US"/>
        </w:rPr>
        <w:t>Hydraulic diversity of forests regulates ecosystem resilience during drought</w:t>
      </w:r>
      <w:r w:rsidR="00915C0D">
        <w:rPr>
          <w:lang w:val="en-US"/>
        </w:rPr>
        <w:fldChar w:fldCharType="begin" w:fldLock="1"/>
      </w:r>
      <w:r w:rsidR="00915C0D">
        <w:rPr>
          <w:lang w:val="en-US"/>
        </w:rPr>
        <w:instrText>ADDIN CSL_CITATION {"citationItems":[{"id":"ITEM-1","itemData":{"DOI":"10.1038/s41586-018-0539-7","ISSN":"14764687","abstract":"Plants influence the atmosphere through fluxes of carbon, water and energy 1 , and can intensify drought through land–atmosphere feedback effects 2–4 . The diversity of plant functional traits in forests, especially physiological traits related to water (hydraulic) transport, may have a critical role in land–atmosphere feedback, particularly during drought. Here we combine 352 site-years of eddy covariance measurements from 40 forest sites, remote-sensing observations of plant water content and plant functional-trait data to test whether the diversity in plant traits affects the response of the ecosystem to drought. We find evidence that higher hydraulic diversity buffers variation in ecosystem flux during dry periods across temperate and boreal forests. Hydraulic traits were the predominant significant predictors of cross-site patterns in drought response. By contrast, standard leaf and wood traits, such as specific leaf area and wood density, had little explanatory power. Our results demonstrate that diversity in the hydraulic traits of trees mediates ecosystem resilience to drought and is likely to have an important role in future ecosystem–atmosphere feedback effects in a changing climate.","author":[{"dropping-particle":"","family":"Anderegg","given":"William R.L.","non-dropping-particle":"","parse-names":false,"suffix":""},{"dropping-particle":"","family":"Konings","given":"Alexandra G.","non-dropping-particle":"","parse-names":false,"suffix":""},{"dropping-particle":"","family":"Trugman","given":"Anna T.","non-dropping-particle":"","parse-names":false,"suffix":""},{"dropping-particle":"","family":"Yu","given":"Kailiang","non-dropping-particle":"","parse-names":false,"suffix":""},{"dropping-particle":"","family":"Bowling","given":"David R.","non-dropping-particle":"","parse-names":false,"suffix":""},{"dropping-particle":"","family":"Gabbitas","given":"Robert","non-dropping-particle":"","parse-names":false,"suffix":""},{"dropping-particle":"","family":"Karp","given":"Daniel S.","non-dropping-particle":"","parse-names":false,"suffix":""},{"dropping-particle":"","family":"Pacala","given":"Stephen","non-dropping-particle":"","parse-names":false,"suffix":""},{"dropping-particle":"","family":"Sperry","given":"John S.","non-dropping-particle":"","parse-names":false,"suffix":""},{"dropping-particle":"","family":"Sulman","given":"Benjamin N.","non-dropping-particle":"","parse-names":false,"suffix":""},{"dropping-particle":"","family":"Zenes","given":"Nicole","non-dropping-particle":"","parse-names":false,"suffix":""}],"container-title":"Nature","id":"ITEM-1","issue":"7724","issued":{"date-parts":[["2018","9","27"]]},"note":"à       Einfluss v. div. (hydr.) Pflanzeneigenschaften auf Reaktion v. Ökosystemen auf Dürre \nà       Statistische Auswertung \nà       Hohe Pflanzendiv. im Wald = Stabilität &amp;amp; div. Eigenschaften (v.a. H2O-Transport-Syst., (oft hoch in mittel bis boreale Wälder)) = schnellere Erholung","page":"538-541","publisher":"Nature Publishing Group","title":"Hydraulic diversity of forests regulates ecosystem resilience during drought","type":"article","volume":"561"},"uris":["http://www.mendeley.com/documents/?uuid=f6c847e2-6776-3502-bd3c-845a92cee17c"]}],"mendeley":{"formattedCitation":"&lt;sup&gt;10&lt;/sup&gt;","plainTextFormattedCitation":"10","previouslyFormattedCitation":"&lt;sup&gt;10&lt;/sup&gt;"},"properties":{"noteIndex":0},"schema":"https://github.com/citation-style-language/schema/raw/master/csl-citation.json"}</w:instrText>
      </w:r>
      <w:r w:rsidR="00915C0D">
        <w:rPr>
          <w:lang w:val="en-US"/>
        </w:rPr>
        <w:fldChar w:fldCharType="separate"/>
      </w:r>
      <w:r w:rsidR="00915C0D" w:rsidRPr="00915C0D">
        <w:rPr>
          <w:noProof/>
          <w:vertAlign w:val="superscript"/>
          <w:lang w:val="en-US"/>
        </w:rPr>
        <w:t>10</w:t>
      </w:r>
      <w:r w:rsidR="00915C0D">
        <w:rPr>
          <w:lang w:val="en-US"/>
        </w:rPr>
        <w:fldChar w:fldCharType="end"/>
      </w:r>
    </w:p>
    <w:p w14:paraId="3A11B5F1" w14:textId="77777777" w:rsidR="00C41EF7" w:rsidRPr="005A61F7" w:rsidRDefault="00C41EF7" w:rsidP="006E2D8E">
      <w:pPr>
        <w:pStyle w:val="Listenabsatz"/>
        <w:numPr>
          <w:ilvl w:val="0"/>
          <w:numId w:val="6"/>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Einfluss v. div. (</w:t>
      </w:r>
      <w:proofErr w:type="spellStart"/>
      <w:r w:rsidRPr="005A61F7">
        <w:rPr>
          <w:rFonts w:eastAsia="Times New Roman" w:cs="Times New Roman"/>
          <w:color w:val="000000" w:themeColor="text1"/>
          <w:shd w:val="clear" w:color="auto" w:fill="FFFFFF"/>
          <w:lang w:val="de-CH" w:eastAsia="de-DE"/>
        </w:rPr>
        <w:t>hydr</w:t>
      </w:r>
      <w:proofErr w:type="spellEnd"/>
      <w:r w:rsidRPr="005A61F7">
        <w:rPr>
          <w:rFonts w:eastAsia="Times New Roman" w:cs="Times New Roman"/>
          <w:color w:val="000000" w:themeColor="text1"/>
          <w:shd w:val="clear" w:color="auto" w:fill="FFFFFF"/>
          <w:lang w:val="de-CH" w:eastAsia="de-DE"/>
        </w:rPr>
        <w:t>.) Pflanzeneigenschaften auf Reaktion v. Ökosystemen auf Dürre</w:t>
      </w:r>
    </w:p>
    <w:p w14:paraId="547DB6F7" w14:textId="77777777" w:rsidR="00C41EF7" w:rsidRPr="005A61F7" w:rsidRDefault="00C41EF7" w:rsidP="006E2D8E">
      <w:pPr>
        <w:pStyle w:val="Listenabsatz"/>
        <w:numPr>
          <w:ilvl w:val="0"/>
          <w:numId w:val="6"/>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Statistische Auswertung</w:t>
      </w:r>
    </w:p>
    <w:p w14:paraId="75E10874" w14:textId="77777777" w:rsidR="00C41EF7" w:rsidRPr="005A61F7" w:rsidRDefault="00C41EF7" w:rsidP="006E2D8E">
      <w:pPr>
        <w:pStyle w:val="Listenabsatz"/>
        <w:numPr>
          <w:ilvl w:val="0"/>
          <w:numId w:val="6"/>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 xml:space="preserve">Hohe </w:t>
      </w:r>
      <w:proofErr w:type="spellStart"/>
      <w:r w:rsidRPr="005A61F7">
        <w:rPr>
          <w:rFonts w:eastAsia="Times New Roman" w:cs="Times New Roman"/>
          <w:color w:val="000000" w:themeColor="text1"/>
          <w:shd w:val="clear" w:color="auto" w:fill="FFFFFF"/>
          <w:lang w:val="de-CH" w:eastAsia="de-DE"/>
        </w:rPr>
        <w:t>Pflanzendiv</w:t>
      </w:r>
      <w:proofErr w:type="spellEnd"/>
      <w:r w:rsidRPr="005A61F7">
        <w:rPr>
          <w:rFonts w:eastAsia="Times New Roman" w:cs="Times New Roman"/>
          <w:color w:val="000000" w:themeColor="text1"/>
          <w:shd w:val="clear" w:color="auto" w:fill="FFFFFF"/>
          <w:lang w:val="de-CH" w:eastAsia="de-DE"/>
        </w:rPr>
        <w:t>. im Wald = Stabilität &amp; div. Eigenschaften (v.a. H2O-Transport-Syst., (oft hoch in mittel bis boreale Wälder)) = schnellere Erholung</w:t>
      </w:r>
    </w:p>
    <w:p w14:paraId="55597F56" w14:textId="5A9345BD" w:rsidR="00B34357" w:rsidRPr="00266775" w:rsidRDefault="002D08F8" w:rsidP="0042406D">
      <w:pPr>
        <w:pStyle w:val="berschrift3"/>
        <w:rPr>
          <w:lang w:val="en-US"/>
        </w:rPr>
      </w:pPr>
      <w:hyperlink r:id="rId9" w:history="1">
        <w:r w:rsidR="0042406D" w:rsidRPr="00266775">
          <w:rPr>
            <w:lang w:val="en-US"/>
          </w:rPr>
          <w:t>Low growth resilience to drought is related to future mortality risk in trees</w:t>
        </w:r>
      </w:hyperlink>
      <w:r w:rsidR="00915C0D">
        <w:rPr>
          <w:lang w:val="en-US"/>
        </w:rPr>
        <w:fldChar w:fldCharType="begin" w:fldLock="1"/>
      </w:r>
      <w:r w:rsidR="0090638A">
        <w:rPr>
          <w:lang w:val="en-US"/>
        </w:rPr>
        <w:instrText>ADDIN CSL_CITATION {"citationItems":[{"id":"ITEM-1","itemData":{"DOI":"10.1038/s41467-020-14300-5","ISSN":"20411723","abstract":"Severe droughts have the potential to reduce forest productivity and trigger tree mortality. Most trees face several drought events during their life and therefore resilience to dry conditions may be crucial to long-term survival. We assessed how growth resilience to severe droughts, including its components resistance and recovery, is related to the ability to survive future droughts by using a tree-ring database of surviving and now-dead trees from 118 sites (22 species, &gt;3,500 trees). We found that, across the variety of regions and species sampled, trees that died during water shortages were less resilient to previous non-lethal droughts, relative to coexisting surviving trees of the same species. In angiosperms, drought-related mortality risk is associated with lower resistance (low capacity to reduce impact of the initial drought), while it is related to reduced recovery (low capacity to attain pre-drought growth rates) in gymnosperms. The different resilience strategies in these two taxonomic groups open new avenues to improve our understanding and prediction of drought-induced mortality.","author":[{"dropping-particle":"","family":"DeSoto","given":"Lucía","non-dropping-particle":"","parse-names":false,"suffix":""},{"dropping-particle":"","family":"Cailleret","given":"Maxime","non-dropping-particle":"","parse-names":false,"suffix":""},{"dropping-particle":"","family":"Sterck","given":"Frank","non-dropping-particle":"","parse-names":false,"suffix":""},{"dropping-particle":"","family":"Jansen","given":"Steven","non-dropping-particle":"","parse-names":false,"suffix":""},{"dropping-particle":"","family":"Kramer","given":"Koen","non-dropping-particle":"","parse-names":false,"suffix":""},{"dropping-particle":"","family":"Robert","given":"Elisabeth M.R.","non-dropping-particle":"","parse-names":false,"suffix":""},{"dropping-particle":"","family":"Aakala","given":"Tuomas","non-dropping-particle":"","parse-names":false,"suffix":""},{"dropping-particle":"","family":"Amoroso","given":"Mariano M.","non-dropping-particle":"","parse-names":false,"suffix":""},{"dropping-particle":"","family":"Bigler","given":"Christof","non-dropping-particle":"","parse-names":false,"suffix":""},{"dropping-particle":"","family":"Camarero","given":"J. Julio","non-dropping-particle":"","parse-names":false,"suffix":""},{"dropping-particle":"","family":"Čufar","given":"Katarina","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J.","non-dropping-particle":"","parse-names":false,"suffix":""},{"dropping-particle":"","family":"Hereş","given":"Ana Maria","non-dropping-particle":"","parse-names":false,"suffix":""},{"dropping-particle":"","family":"Kane","given":"Jeffrey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Levanič","given":"Tom","non-dropping-particle":"","parse-names":false,"suffix":""},{"dropping-particle":"","family":"Linares","given":"Juan C.","non-dropping-particle":"","parse-names":false,"suffix":""},{"dropping-particle":"","family":"Mäkinen","given":"Harri","non-dropping-particle":"","parse-names":false,"suffix":""},{"dropping-particle":"","family":"Oberhuber","given":"Walter","non-dropping-particle":"","parse-names":false,"suffix":""},{"dropping-particle":"","family":"Papadopoulos","given":"Andreas","non-dropping-particle":"","parse-names":false,"suffix":""},{"dropping-particle":"","family":"Rohner","given":"Brigitte","non-dropping-particle":"","parse-names":false,"suffix":""},{"dropping-particle":"","family":"Sangüesa-Barreda","given":"Gabriel","non-dropping-particle":"","parse-names":false,"suffix":""},{"dropping-particle":"","family":"Stojanovic","given":"Dejan B.","non-dropping-particle":"","parse-names":false,"suffix":""},{"dropping-particle":"","family":"Suárez","given":"Maria Laura","non-dropping-particle":"","parse-names":false,"suffix":""},{"dropping-particle":"","family":"Villalba","given":"Ricardo","non-dropping-particle":"","parse-names":false,"suffix":""},{"dropping-particle":"","family":"Martínez-Vilalta","given":"Jordi","non-dropping-particle":"","parse-names":false,"suffix":""}],"container-title":"Nature Communications","id":"ITEM-1","issue":"1","issued":{"date-parts":[["2020","12","1"]]},"note":"à       Dickenwachstums-Resilienz bei Dürre-Perioden in Zusammenhang mit Fähigkeit zukünft. Dürre zu überleben \nà       Jahrringanalyse (toter und überlebender Bäume) \nà       Angiosp. tiefere Resistenz, Gymnosp. reduzierte Erholung, Bodenfruchtbarkeit, Baumreaktion auf Dürre, Baumgrösse","publisher":"Nature Research","title":"Low growth resilience to drought is related to future mortality risk in trees","type":"article-journal","volume":"11"},"uris":["http://www.mendeley.com/documents/?uuid=620a2828-cd97-3fd5-b162-7b5a2b07a744"]}],"mendeley":{"formattedCitation":"&lt;sup&gt;28&lt;/sup&gt;","plainTextFormattedCitation":"28","previouslyFormattedCitation":"&lt;sup&gt;28&lt;/sup&gt;"},"properties":{"noteIndex":0},"schema":"https://github.com/citation-style-language/schema/raw/master/csl-citation.json"}</w:instrText>
      </w:r>
      <w:r w:rsidR="00915C0D">
        <w:rPr>
          <w:lang w:val="en-US"/>
        </w:rPr>
        <w:fldChar w:fldCharType="separate"/>
      </w:r>
      <w:r w:rsidR="0090638A" w:rsidRPr="0090638A">
        <w:rPr>
          <w:noProof/>
          <w:vertAlign w:val="superscript"/>
          <w:lang w:val="en-US"/>
        </w:rPr>
        <w:t>28</w:t>
      </w:r>
      <w:r w:rsidR="00915C0D">
        <w:rPr>
          <w:lang w:val="en-US"/>
        </w:rPr>
        <w:fldChar w:fldCharType="end"/>
      </w:r>
    </w:p>
    <w:p w14:paraId="51DF003C" w14:textId="51123093" w:rsidR="0042406D" w:rsidRPr="005A61F7" w:rsidRDefault="00031D9B" w:rsidP="006E2D8E">
      <w:pPr>
        <w:pStyle w:val="Listenabsatz"/>
        <w:numPr>
          <w:ilvl w:val="0"/>
          <w:numId w:val="7"/>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A</w:t>
      </w:r>
      <w:r w:rsidR="0042406D" w:rsidRPr="005A61F7">
        <w:rPr>
          <w:rFonts w:eastAsia="Times New Roman" w:cs="Times New Roman"/>
          <w:color w:val="000000" w:themeColor="text1"/>
          <w:shd w:val="clear" w:color="auto" w:fill="FFFFFF"/>
          <w:lang w:val="de-CH" w:eastAsia="de-DE"/>
        </w:rPr>
        <w:t xml:space="preserve">ufrechterhaltenes Dickenwachstum bei Dürre-Perioden in Zusammenhang mit hoher Überlebensrate bei </w:t>
      </w:r>
      <w:proofErr w:type="spellStart"/>
      <w:r w:rsidR="0042406D" w:rsidRPr="005A61F7">
        <w:rPr>
          <w:rFonts w:eastAsia="Times New Roman" w:cs="Times New Roman"/>
          <w:color w:val="000000" w:themeColor="text1"/>
          <w:shd w:val="clear" w:color="auto" w:fill="FFFFFF"/>
          <w:lang w:val="de-CH" w:eastAsia="de-DE"/>
        </w:rPr>
        <w:t>zukünft</w:t>
      </w:r>
      <w:proofErr w:type="spellEnd"/>
      <w:r w:rsidR="0042406D" w:rsidRPr="005A61F7">
        <w:rPr>
          <w:rFonts w:eastAsia="Times New Roman" w:cs="Times New Roman"/>
          <w:color w:val="000000" w:themeColor="text1"/>
          <w:shd w:val="clear" w:color="auto" w:fill="FFFFFF"/>
          <w:lang w:val="de-CH" w:eastAsia="de-DE"/>
        </w:rPr>
        <w:t>. Dürre</w:t>
      </w:r>
    </w:p>
    <w:p w14:paraId="7318D4F0" w14:textId="77777777" w:rsidR="0042406D" w:rsidRPr="005A61F7" w:rsidRDefault="0042406D" w:rsidP="006E2D8E">
      <w:pPr>
        <w:pStyle w:val="Listenabsatz"/>
        <w:numPr>
          <w:ilvl w:val="0"/>
          <w:numId w:val="7"/>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Jahrringanalyse (toter und überlebender Bäume)</w:t>
      </w:r>
    </w:p>
    <w:p w14:paraId="1AADDE8C" w14:textId="77777777" w:rsidR="0042406D" w:rsidRPr="005A61F7" w:rsidRDefault="0042406D" w:rsidP="006E2D8E">
      <w:pPr>
        <w:pStyle w:val="Listenabsatz"/>
        <w:numPr>
          <w:ilvl w:val="0"/>
          <w:numId w:val="7"/>
        </w:numPr>
        <w:ind w:left="714" w:hanging="357"/>
        <w:jc w:val="both"/>
        <w:textAlignment w:val="baseline"/>
        <w:rPr>
          <w:rFonts w:eastAsia="Times New Roman" w:cs="Times New Roman"/>
          <w:color w:val="000000" w:themeColor="text1"/>
          <w:lang w:val="de-CH" w:eastAsia="de-DE"/>
        </w:rPr>
      </w:pPr>
      <w:proofErr w:type="spellStart"/>
      <w:r w:rsidRPr="005A61F7">
        <w:rPr>
          <w:rFonts w:eastAsia="Times New Roman" w:cs="Times New Roman"/>
          <w:color w:val="000000" w:themeColor="text1"/>
          <w:shd w:val="clear" w:color="auto" w:fill="FFFFFF"/>
          <w:lang w:val="de-CH" w:eastAsia="de-DE"/>
        </w:rPr>
        <w:t>Angiosp</w:t>
      </w:r>
      <w:proofErr w:type="spellEnd"/>
      <w:r w:rsidRPr="005A61F7">
        <w:rPr>
          <w:rFonts w:eastAsia="Times New Roman" w:cs="Times New Roman"/>
          <w:color w:val="000000" w:themeColor="text1"/>
          <w:shd w:val="clear" w:color="auto" w:fill="FFFFFF"/>
          <w:lang w:val="de-CH" w:eastAsia="de-DE"/>
        </w:rPr>
        <w:t xml:space="preserve">. tiefere Resistenz, </w:t>
      </w:r>
      <w:proofErr w:type="spellStart"/>
      <w:r w:rsidRPr="005A61F7">
        <w:rPr>
          <w:rFonts w:eastAsia="Times New Roman" w:cs="Times New Roman"/>
          <w:color w:val="000000" w:themeColor="text1"/>
          <w:shd w:val="clear" w:color="auto" w:fill="FFFFFF"/>
          <w:lang w:val="de-CH" w:eastAsia="de-DE"/>
        </w:rPr>
        <w:t>Gymnosp</w:t>
      </w:r>
      <w:proofErr w:type="spellEnd"/>
      <w:r w:rsidRPr="005A61F7">
        <w:rPr>
          <w:rFonts w:eastAsia="Times New Roman" w:cs="Times New Roman"/>
          <w:color w:val="000000" w:themeColor="text1"/>
          <w:shd w:val="clear" w:color="auto" w:fill="FFFFFF"/>
          <w:lang w:val="de-CH" w:eastAsia="de-DE"/>
        </w:rPr>
        <w:t>. reduzierte Erholung, Bodenfruchtbarkeit, Baumreaktion auf Dürre, Baumgrösse</w:t>
      </w:r>
    </w:p>
    <w:p w14:paraId="63C9C381" w14:textId="29E90EA9" w:rsidR="00B34357" w:rsidRPr="00266775" w:rsidRDefault="00C41EF7" w:rsidP="00B34357">
      <w:pPr>
        <w:pStyle w:val="berschrift3"/>
        <w:rPr>
          <w:lang w:val="en-US"/>
        </w:rPr>
      </w:pPr>
      <w:r w:rsidRPr="00266775">
        <w:rPr>
          <w:lang w:val="en-US"/>
        </w:rPr>
        <w:t>Fragmentation reduces severe drought impacts on tree functioning in holm oak forests</w:t>
      </w:r>
      <w:r w:rsidR="00915C0D">
        <w:rPr>
          <w:lang w:val="en-US"/>
        </w:rPr>
        <w:fldChar w:fldCharType="begin" w:fldLock="1"/>
      </w:r>
      <w:r w:rsidR="0090638A">
        <w:rPr>
          <w:lang w:val="en-US"/>
        </w:rPr>
        <w:instrText>ADDIN CSL_CITATION {"citationItems":[{"id":"ITEM-1","itemData":{"DOI":"10.1016/j.envexpbot.2020.104001","ISSN":"00988472","abstract":"Fragmentation and increased summer drought are two main threats to Mediterranean forests. Forest fragmentation has many negative impacts on forests but could attenuate water stress on Mediterranean species by reducing intraspecific competition or improving soil properties at forest edges. However, little is known about the combined effects of drought and fragmentation on tree functioning. We evaluated the effect of forest fragmentation on tree functioning under severe drought periods in continental holm oak forests (Quercus ilex). We monitored the functional response of focal trees before and during summer drought in two regions of the Iberian Peninsula with contrasting climates. Forest interiors, edges and small forest fragments were compared. Predawn leaf water potential (Ψpd), leaf stomatal conductance to water vapor (gs), maximum leaf photochemical efficiency (Fv/Fm), ground (Fo) and maximum (Fm) fluorescence in dark adapted, fully-developed leaves were assessed in the field. Trees located at forest interiors and edges showed strong stomatal closure and clear symptoms of photochemical inhibition, revealing that the trees were operating at predawn water potential beyond tolerance thresholds. In contrast, trees located in small forest fragments were able to maintain high levels of functionality for all ecophysiological parameters during the drought. These differences in tree functioning among fragments were more noticiable in the driest region. Our results prove that forest fragmentation attenuates drought impacts on tree functioning, and that these positive effects become more important during extremely dry periods. These novel findings are essential for realistic predictions of the functionality of fragmented forests under increasing and more severe droughts.","author":[{"dropping-particle":"","family":"Forner","given":"Alicia","non-dropping-particle":"","parse-names":false,"suffix":""},{"dropping-particle":"","family":"Morán-López","given":"Teresa","non-dropping-particle":"","parse-names":false,"suffix":""},{"dropping-particle":"","family":"Flores-Rentería","given":"Dulce","non-dropping-particle":"","parse-names":false,"suffix":""},{"dropping-particle":"","family":"Aranda","given":"Ismael","non-dropping-particle":"","parse-names":false,"suffix":""},{"dropping-particle":"","family":"Valladares","given":"Fernando","non-dropping-particle":"","parse-names":false,"suffix":""}],"container-title":"Environmental and Experimental Botany","id":"ITEM-1","issued":{"date-parts":[["2020"]]},"note":"à       Einfluss v. Fragmentierung v. Wäldern auf Wirkung v. Dürre \nà       Feldversuch/Monitoring \nà       Bäume in kl. Waldfragmenten bessere Aufrechterhaltung v. ökophysiologischen Parametern währ. Dürre, aber auch viele negative Folgen","publisher":"Elsevier B.V.","title":"Fragmentation reduces severe drought impacts on tree functioning in holm oak forests","type":"article-journal"},"uris":["http://www.mendeley.com/documents/?uuid=1746fc0c-8016-30d9-9fa0-a49d118918fb"]}],"mendeley":{"formattedCitation":"&lt;sup&gt;29&lt;/sup&gt;","plainTextFormattedCitation":"29","previouslyFormattedCitation":"&lt;sup&gt;29&lt;/sup&gt;"},"properties":{"noteIndex":0},"schema":"https://github.com/citation-style-language/schema/raw/master/csl-citation.json"}</w:instrText>
      </w:r>
      <w:r w:rsidR="00915C0D">
        <w:rPr>
          <w:lang w:val="en-US"/>
        </w:rPr>
        <w:fldChar w:fldCharType="separate"/>
      </w:r>
      <w:r w:rsidR="0090638A" w:rsidRPr="0090638A">
        <w:rPr>
          <w:noProof/>
          <w:vertAlign w:val="superscript"/>
          <w:lang w:val="en-US"/>
        </w:rPr>
        <w:t>29</w:t>
      </w:r>
      <w:r w:rsidR="00915C0D">
        <w:rPr>
          <w:lang w:val="en-US"/>
        </w:rPr>
        <w:fldChar w:fldCharType="end"/>
      </w:r>
    </w:p>
    <w:p w14:paraId="79FB9284" w14:textId="07921833" w:rsidR="00C41EF7" w:rsidRPr="005A61F7" w:rsidRDefault="00031D9B" w:rsidP="006E2D8E">
      <w:pPr>
        <w:pStyle w:val="Listenabsatz"/>
        <w:numPr>
          <w:ilvl w:val="0"/>
          <w:numId w:val="8"/>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P</w:t>
      </w:r>
      <w:r w:rsidR="00C41EF7" w:rsidRPr="005A61F7">
        <w:rPr>
          <w:rFonts w:eastAsia="Times New Roman" w:cs="Times New Roman"/>
          <w:color w:val="000000" w:themeColor="text1"/>
          <w:shd w:val="clear" w:color="auto" w:fill="FFFFFF"/>
          <w:lang w:val="de-CH" w:eastAsia="de-DE"/>
        </w:rPr>
        <w:t>ositiver Einfluss v. Fragmentierung v. Wäldern auf Wirkung v. Dürre</w:t>
      </w:r>
    </w:p>
    <w:p w14:paraId="4330D634" w14:textId="77777777" w:rsidR="00C41EF7" w:rsidRPr="005A61F7" w:rsidRDefault="00C41EF7" w:rsidP="006E2D8E">
      <w:pPr>
        <w:pStyle w:val="Listenabsatz"/>
        <w:numPr>
          <w:ilvl w:val="0"/>
          <w:numId w:val="8"/>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Feldversuch/Monitoring</w:t>
      </w:r>
    </w:p>
    <w:p w14:paraId="4396534B" w14:textId="77777777" w:rsidR="00C41EF7" w:rsidRPr="005A61F7" w:rsidRDefault="00C41EF7" w:rsidP="006E2D8E">
      <w:pPr>
        <w:pStyle w:val="Listenabsatz"/>
        <w:numPr>
          <w:ilvl w:val="0"/>
          <w:numId w:val="8"/>
        </w:numPr>
        <w:ind w:left="714" w:hanging="357"/>
        <w:jc w:val="both"/>
        <w:textAlignment w:val="baseline"/>
        <w:rPr>
          <w:rFonts w:eastAsia="Times New Roman" w:cs="Times New Roman"/>
          <w:color w:val="000000" w:themeColor="text1"/>
          <w:lang w:val="de-CH" w:eastAsia="de-DE"/>
        </w:rPr>
      </w:pPr>
      <w:r w:rsidRPr="005A61F7">
        <w:rPr>
          <w:rFonts w:eastAsia="Times New Roman" w:cs="Times New Roman"/>
          <w:color w:val="000000" w:themeColor="text1"/>
          <w:shd w:val="clear" w:color="auto" w:fill="FFFFFF"/>
          <w:lang w:val="de-CH" w:eastAsia="de-DE"/>
        </w:rPr>
        <w:t>Bäume in kl. Waldfragmenten bessere Aufrechterhaltung v. ökophysiologischen Parametern währ. Dürre, aber auch viele negative Folgen</w:t>
      </w:r>
    </w:p>
    <w:p w14:paraId="7789672C" w14:textId="77777777" w:rsidR="00AD5C0D" w:rsidRDefault="00AD5C0D" w:rsidP="00B34357">
      <w:pPr>
        <w:pStyle w:val="StandardWeb"/>
        <w:spacing w:before="0" w:beforeAutospacing="0" w:after="160" w:afterAutospacing="0"/>
        <w:rPr>
          <w:rFonts w:asciiTheme="minorHAnsi" w:hAnsiTheme="minorHAnsi" w:cstheme="minorBidi"/>
          <w:sz w:val="22"/>
          <w:szCs w:val="22"/>
          <w:lang w:val="de-CH"/>
        </w:rPr>
      </w:pPr>
    </w:p>
    <w:p w14:paraId="6D480668" w14:textId="77777777" w:rsidR="00B34357" w:rsidRPr="00266775" w:rsidRDefault="00B34357" w:rsidP="00B34357">
      <w:pPr>
        <w:pStyle w:val="StandardWeb"/>
        <w:spacing w:before="0" w:beforeAutospacing="0" w:after="160" w:afterAutospacing="0"/>
        <w:rPr>
          <w:color w:val="000000"/>
          <w:lang w:val="de-CH"/>
        </w:rPr>
      </w:pPr>
      <w:r w:rsidRPr="00266775">
        <w:rPr>
          <w:rStyle w:val="berschrift1Zchn"/>
          <w:lang w:val="de-CH"/>
        </w:rPr>
        <w:t xml:space="preserve">Rechercheaspekt E: </w:t>
      </w:r>
      <w:r w:rsidRPr="00266775">
        <w:rPr>
          <w:rFonts w:asciiTheme="majorHAnsi" w:hAnsiTheme="majorHAnsi" w:cs="Arial"/>
          <w:color w:val="2E74B5"/>
          <w:sz w:val="32"/>
          <w:szCs w:val="32"/>
          <w:lang w:val="de-CH"/>
        </w:rPr>
        <w:t>Zerstörung durch Stürme</w:t>
      </w:r>
    </w:p>
    <w:p w14:paraId="7F2AB4B2" w14:textId="77777777" w:rsidR="00B34357" w:rsidRPr="00D230CC" w:rsidRDefault="00B34357" w:rsidP="00B34357">
      <w:pPr>
        <w:rPr>
          <w:rStyle w:val="Hervorhebung"/>
        </w:rPr>
      </w:pPr>
      <w:r>
        <w:rPr>
          <w:rStyle w:val="Hervorhebung"/>
        </w:rPr>
        <w:t xml:space="preserve">Ladina </w:t>
      </w:r>
      <w:proofErr w:type="spellStart"/>
      <w:r>
        <w:rPr>
          <w:rStyle w:val="Hervorhebung"/>
        </w:rPr>
        <w:t>Steinegger</w:t>
      </w:r>
      <w:proofErr w:type="spellEnd"/>
    </w:p>
    <w:p w14:paraId="246306AE" w14:textId="1B93FB40" w:rsidR="00B34357" w:rsidRDefault="00B34357" w:rsidP="00B34357">
      <w:pPr>
        <w:pStyle w:val="berschrift2"/>
        <w:rPr>
          <w:sz w:val="22"/>
          <w:lang w:val="de-CH"/>
        </w:rPr>
      </w:pPr>
      <w:r>
        <w:rPr>
          <w:lang w:val="de-CH"/>
        </w:rPr>
        <w:t xml:space="preserve">Kurzzusammenfassung </w:t>
      </w:r>
    </w:p>
    <w:p w14:paraId="6A5BC557" w14:textId="3467E580" w:rsidR="00EE2FCC" w:rsidRPr="00881F47" w:rsidRDefault="00EE2FCC" w:rsidP="00EE2FCC">
      <w:pPr>
        <w:jc w:val="both"/>
        <w:rPr>
          <w:rFonts w:eastAsia="Times New Roman" w:cs="Arial"/>
          <w:color w:val="000000"/>
          <w:shd w:val="clear" w:color="auto" w:fill="FFFFFF"/>
          <w:vertAlign w:val="superscript"/>
          <w:lang w:val="de-CH"/>
        </w:rPr>
      </w:pPr>
      <w:r w:rsidRPr="00EE2FCC">
        <w:rPr>
          <w:rFonts w:eastAsia="Times New Roman" w:cs="Arial"/>
          <w:color w:val="000000"/>
          <w:shd w:val="clear" w:color="auto" w:fill="FFFFFF"/>
          <w:lang w:val="de-CH"/>
        </w:rPr>
        <w:t>Wind formt die Walddynamik, indem er Bäume beschädigt</w:t>
      </w:r>
      <w:r w:rsidR="00005B57">
        <w:rPr>
          <w:rFonts w:eastAsia="Times New Roman" w:cs="Arial"/>
          <w:color w:val="000000"/>
          <w:shd w:val="clear" w:color="auto" w:fill="FFFFFF"/>
          <w:lang w:val="de-CH"/>
        </w:rPr>
        <w:t xml:space="preserve"> oder entwurzelt. </w:t>
      </w:r>
      <w:r w:rsidRPr="00EE2FCC">
        <w:rPr>
          <w:rFonts w:eastAsia="Times New Roman" w:cs="Arial"/>
          <w:color w:val="000000"/>
          <w:shd w:val="clear" w:color="auto" w:fill="FFFFFF"/>
          <w:lang w:val="de-CH"/>
        </w:rPr>
        <w:t xml:space="preserve">Winterstürme </w:t>
      </w:r>
      <w:r w:rsidR="00005B57">
        <w:rPr>
          <w:rFonts w:eastAsia="Times New Roman" w:cs="Arial"/>
          <w:color w:val="000000"/>
          <w:shd w:val="clear" w:color="auto" w:fill="FFFFFF"/>
          <w:lang w:val="de-CH"/>
        </w:rPr>
        <w:t>richten in der Schweiz am meisten Schaden an</w:t>
      </w:r>
      <w:r w:rsidR="00674010">
        <w:rPr>
          <w:rFonts w:eastAsia="Times New Roman" w:cs="Arial"/>
          <w:color w:val="000000"/>
          <w:shd w:val="clear" w:color="auto" w:fill="FFFFFF"/>
          <w:lang w:val="de-CH"/>
        </w:rPr>
        <w:fldChar w:fldCharType="begin" w:fldLock="1"/>
      </w:r>
      <w:r w:rsidR="00EB3E0D">
        <w:rPr>
          <w:rFonts w:eastAsia="Times New Roman" w:cs="Arial"/>
          <w:color w:val="000000"/>
          <w:shd w:val="clear" w:color="auto" w:fill="FFFFFF"/>
          <w:lang w:val="de-CH"/>
        </w:rPr>
        <w:instrText>ADDIN CSL_CITATION {"citationItems":[{"id":"ITEM-1","itemData":{"DOI":"10.1016/j.agrformet.2009.08.010","ISSN":"01681923","abstract":"The most severe damage to forests in Central Europe occurs during winter storms caused by Northern Hemispheric mid-latitude cyclones. Storm events in the winter semesters of the past 150 years were investigated to quantify changes and evaluate whether damage rates, forest properties and climate had changed. Records of damage extent (wind throw/snap/breakage), forest area and growing stock in Switzerland were comparatively analysed. Storm damage (m3) was 17 times greater during the period 1958-2007 than during the period 1908-1957 and 22 times greater than in the period 1858-1907. Forest area in Switzerland has increased by 63% and growing stock by 292% over the past 150 years. The significant recent increase in storm damage could only partially be explained by increased growing stock. Weather reports prior to storms indicated that severe storm damage occurred almost always when soils were unfrozen (96%) and wet (96%). During the observation period mean winter temperature has increased by nearly 2 °C and winter precipitation has increased by nearly 50% in the study region. In the Zurich region, daily maximum gust wind speed and storm damage were compared. Maximum gust wind speed above 35 m s-1 was associated with extensive storm damage. Catastrophic storm damage and maximum gust wind speed measured during storms have increased during recent decades. In conclusion, increasing growing stock, warm winter temperature and high precipitation, and even more markedly, increasing maximum gust wind speed have all contributed to the recent increase in windstorm damage to forests. © 2009 Elsevier B.V. All rights reserved.","author":[{"dropping-particle":"","family":"Usbeck","given":"Tilo","non-dropping-particle":"","parse-names":false,"suffix":""},{"dropping-particle":"","family":"Wohlgemuth","given":"Thomas","non-dropping-particle":"","parse-names":false,"suffix":""},{"dropping-particle":"","family":"Dobbertin","given":"Matthias","non-dropping-particle":"","parse-names":false,"suffix":""},{"dropping-particle":"","family":"Pfister","given":"Christian","non-dropping-particle":"","parse-names":false,"suffix":""},{"dropping-particle":"","family":"Bürgi","given":"Anton","non-dropping-particle":"","parse-names":false,"suffix":""},{"dropping-particle":"","family":"Rebetez","given":"Martine","non-dropping-particle":"","parse-names":false,"suffix":""}],"container-title":"Agricultural and Forest Meteorology","id":"ITEM-1","issue":"1","issued":{"date-parts":[["2010","1","15"]]},"page":"47-55","title":"Increasing storm damage to forests in Switzerland from 1858 to 2007","type":"article-journal","volume":"150"},"uris":["http://www.mendeley.com/documents/?uuid=b329b08f-9da8-3c70-ac80-bed6d2e209fc"]}],"mendeley":{"formattedCitation":"&lt;sup&gt;2&lt;/sup&gt;","plainTextFormattedCitation":"2","previouslyFormattedCitation":"&lt;sup&gt;2&lt;/sup&gt;"},"properties":{"noteIndex":0},"schema":"https://github.com/citation-style-language/schema/raw/master/csl-citation.json"}</w:instrText>
      </w:r>
      <w:r w:rsidR="00674010">
        <w:rPr>
          <w:rFonts w:eastAsia="Times New Roman" w:cs="Arial"/>
          <w:color w:val="000000"/>
          <w:shd w:val="clear" w:color="auto" w:fill="FFFFFF"/>
          <w:lang w:val="de-CH"/>
        </w:rPr>
        <w:fldChar w:fldCharType="separate"/>
      </w:r>
      <w:r w:rsidR="00EB3E0D" w:rsidRPr="00EB3E0D">
        <w:rPr>
          <w:rFonts w:eastAsia="Times New Roman" w:cs="Arial"/>
          <w:noProof/>
          <w:color w:val="000000"/>
          <w:shd w:val="clear" w:color="auto" w:fill="FFFFFF"/>
          <w:vertAlign w:val="superscript"/>
          <w:lang w:val="de-CH"/>
        </w:rPr>
        <w:t>2</w:t>
      </w:r>
      <w:r w:rsidR="00674010">
        <w:rPr>
          <w:rFonts w:eastAsia="Times New Roman" w:cs="Arial"/>
          <w:color w:val="000000"/>
          <w:shd w:val="clear" w:color="auto" w:fill="FFFFFF"/>
          <w:lang w:val="de-CH"/>
        </w:rPr>
        <w:fldChar w:fldCharType="end"/>
      </w:r>
      <w:r w:rsidR="00674010">
        <w:rPr>
          <w:rFonts w:eastAsia="Times New Roman" w:cs="Arial"/>
          <w:color w:val="000000"/>
          <w:shd w:val="clear" w:color="auto" w:fill="FFFFFF"/>
          <w:lang w:val="de-CH"/>
        </w:rPr>
        <w:t>.</w:t>
      </w:r>
      <w:r w:rsidRPr="00EE2FCC">
        <w:rPr>
          <w:rFonts w:eastAsia="Times New Roman" w:cs="Arial"/>
          <w:color w:val="000000"/>
          <w:shd w:val="clear" w:color="auto" w:fill="FFFFFF"/>
          <w:lang w:val="de-CH"/>
        </w:rPr>
        <w:t xml:space="preserve"> </w:t>
      </w:r>
      <w:r w:rsidR="00005B57">
        <w:rPr>
          <w:rFonts w:eastAsia="Times New Roman" w:cs="Arial"/>
          <w:color w:val="000000"/>
          <w:shd w:val="clear" w:color="auto" w:fill="FFFFFF"/>
          <w:lang w:val="de-CH"/>
        </w:rPr>
        <w:t>Der Sturm betrifft nur einzelne Waldflächen, sein Effekt wirkt kumulativ</w:t>
      </w:r>
      <w:r w:rsidR="00EB3E0D">
        <w:rPr>
          <w:rFonts w:eastAsia="Times New Roman" w:cs="Arial"/>
          <w:color w:val="000000"/>
          <w:shd w:val="clear" w:color="auto" w:fill="FFFFFF"/>
          <w:lang w:val="de-CH"/>
        </w:rPr>
        <w:fldChar w:fldCharType="begin" w:fldLock="1"/>
      </w:r>
      <w:r w:rsidR="00EB3E0D">
        <w:rPr>
          <w:rFonts w:eastAsia="Times New Roman" w:cs="Arial"/>
          <w:color w:val="000000"/>
          <w:shd w:val="clear" w:color="auto" w:fill="FFFFFF"/>
          <w:lang w:val="de-CH"/>
        </w:rPr>
        <w:instrText>ADDIN CSL_CITATION {"citationItems":[{"id":"ITEM-1","itemData":{"DOI":"10.1016/0378-1127(94)90114-7","ISSN":"03781127","abstract":"The extensive literature on natural disturbance in forests is reviewed in terms of the hypotheses: (1) that disturbance is a major force moulding the development, structure and function of forests; and (b) that management of forests for all their benefits can be controlled so that the effects can be contained within those which result from natural disturbance. The causal factors of natural disturbance are both endogenous and exogenous; there are major difficulties in the formal characterization of disturbance and of recovery after disturbance. As to the latter, the acceptance of classical generalizations of the nature of succession has led to particular difficulties in the assessment and interpretation of recovery. Tree fall, which creates gaps, is fundamental to the development of many forests, and has been most intensively studied in tropical forests of Central America and the Amazon and in temperate forests of North America. Tree fall is part of autogenic change; mechanisms of gap-filling and subsequent growth and species composition vary widely with forest type and geography. Disturbance by wind is particularly difficult to characterize. Wind varies along a continuum; the blow-down of an individual tree may be mostly due to autogenic processes of ageing and decay, whereas catastrophic hurricanes and cyclones may be defined as wholly exogenous. Nevertheless, the resilience in terms of species diversity of tropical forests following catastrophic disturbance by hurricane is remarkable. A number of studies support the view that the tropical forest in hurricane-prone areas is not a stable steady-state ecosystem but rather that heterogeneity is maintained by catastrophe. The ability to regenerate by suckers and the coincidence of regenerative space and gregarious flowering are important components of the response of rainforest following disturbance. For much of the world, 'fire is the dominant fact of forest history'. As examples, fire and its effects are reviewed for the northern boreal forests, oak-pine forests and north-western sub-alpine forests of North America. The effect of fire on species composition varies with intensity and frequency. That, together with the popular view of fire as unnatural and therefore unacceptable, places great demands on management of forests for all of their benefits, including national parks and reserves. These difficulties also affect management of other ecosystems, such as Mediterranean-type shrublands and heathlands wh…","author":[{"dropping-particle":"","family":"Attiwill","given":"Peter M.","non-dropping-particle":"","parse-names":false,"suffix":""}],"container-title":"Forest Ecology and Management","id":"ITEM-1","issue":"2-3","issued":{"date-parts":[["1994","2","1"]]},"note":"Verworfen weil hauptsächlich über Störungsmechanismen und Management, nicht über Resilienzfaktoren und es ist über 25 Jahre alt","page":"247-300","publisher":"Elsevier","title":"The disturbance of forest ecosystems: the ecological basis for conservative management","type":"article-journal","volume":"63"},"uris":["http://www.mendeley.com/documents/?uuid=b0e0d908-75d6-36ab-b878-dd94abc2aed0"]}],"mendeley":{"formattedCitation":"&lt;sup&gt;6&lt;/sup&gt;","plainTextFormattedCitation":"6","previouslyFormattedCitation":"&lt;sup&gt;6&lt;/sup&gt;"},"properties":{"noteIndex":0},"schema":"https://github.com/citation-style-language/schema/raw/master/csl-citation.json"}</w:instrText>
      </w:r>
      <w:r w:rsidR="00EB3E0D">
        <w:rPr>
          <w:rFonts w:eastAsia="Times New Roman" w:cs="Arial"/>
          <w:color w:val="000000"/>
          <w:shd w:val="clear" w:color="auto" w:fill="FFFFFF"/>
          <w:lang w:val="de-CH"/>
        </w:rPr>
        <w:fldChar w:fldCharType="separate"/>
      </w:r>
      <w:r w:rsidR="00EB3E0D" w:rsidRPr="00EB3E0D">
        <w:rPr>
          <w:rFonts w:eastAsia="Times New Roman" w:cs="Arial"/>
          <w:noProof/>
          <w:color w:val="000000"/>
          <w:shd w:val="clear" w:color="auto" w:fill="FFFFFF"/>
          <w:vertAlign w:val="superscript"/>
          <w:lang w:val="de-CH"/>
        </w:rPr>
        <w:t>6</w:t>
      </w:r>
      <w:r w:rsidR="00EB3E0D">
        <w:rPr>
          <w:rFonts w:eastAsia="Times New Roman" w:cs="Arial"/>
          <w:color w:val="000000"/>
          <w:shd w:val="clear" w:color="auto" w:fill="FFFFFF"/>
          <w:lang w:val="de-CH"/>
        </w:rPr>
        <w:fldChar w:fldCharType="end"/>
      </w:r>
      <w:r w:rsidR="00674010">
        <w:rPr>
          <w:rFonts w:eastAsia="Times New Roman" w:cs="Arial"/>
          <w:color w:val="000000"/>
          <w:shd w:val="clear" w:color="auto" w:fill="FFFFFF"/>
          <w:lang w:val="de-CH"/>
        </w:rPr>
        <w:t xml:space="preserve">. </w:t>
      </w:r>
      <w:r w:rsidRPr="00EE2FCC">
        <w:rPr>
          <w:rFonts w:eastAsia="Times New Roman" w:cs="Arial"/>
          <w:color w:val="000000"/>
          <w:shd w:val="clear" w:color="auto" w:fill="FFFFFF"/>
          <w:lang w:val="de-CH"/>
        </w:rPr>
        <w:t xml:space="preserve">Totholz und umgewühlte Erde dienen vielen Organismen als Lebensgrundlage </w:t>
      </w:r>
      <w:r w:rsidR="00005B57">
        <w:rPr>
          <w:rFonts w:eastAsia="Times New Roman" w:cs="Arial"/>
          <w:color w:val="000000"/>
          <w:shd w:val="clear" w:color="auto" w:fill="FFFFFF"/>
          <w:lang w:val="de-CH"/>
        </w:rPr>
        <w:t xml:space="preserve">- </w:t>
      </w:r>
      <w:r w:rsidRPr="00EE2FCC">
        <w:rPr>
          <w:rFonts w:eastAsia="Times New Roman" w:cs="Arial"/>
          <w:color w:val="000000"/>
          <w:shd w:val="clear" w:color="auto" w:fill="FFFFFF"/>
          <w:lang w:val="de-CH"/>
        </w:rPr>
        <w:t>Stürme stellen eine lokale Verjüngung des Waldes dar</w:t>
      </w:r>
      <w:r w:rsidR="00881F47">
        <w:rPr>
          <w:rFonts w:eastAsia="Times New Roman" w:cs="Arial"/>
          <w:color w:val="000000"/>
          <w:shd w:val="clear" w:color="auto" w:fill="FFFFFF"/>
          <w:lang w:val="de-CH"/>
        </w:rPr>
        <w:fldChar w:fldCharType="begin" w:fldLock="1"/>
      </w:r>
      <w:r w:rsidR="00EB3E0D">
        <w:rPr>
          <w:rFonts w:eastAsia="Times New Roman" w:cs="Arial"/>
          <w:color w:val="000000"/>
          <w:shd w:val="clear" w:color="auto" w:fill="FFFFFF"/>
          <w:lang w:val="de-CH"/>
        </w:rPr>
        <w:instrText>ADDIN CSL_CITATION {"citationItems":[{"id":"ITEM-1","itemData":{"abstract":"Stürme führen auch in Natur- und Urwäldern zu Windwürfen. Dies lässt sich in den wenigen ursprüng- lichen, zumeist unter Schutz stehenden Waldgebieten Nord-, Ost- und Südosteuropas beobachten. Nach «Vivian» und «Lothar» sind viele Fachleute aus der Schweiz daran interessiert, mehr über natürliche Entwicklungsprozesse in Natur- und Urwäldern zu erfahren. Das drückt sich in der zunehmenden Anzahl an Fachreisen in mittelosteuropäische Urwälder aus (z. B. [11], Abb.1). Wir haben darum Er- fahrungen und Forschungsergebnisse, die nach Windwürfen in natürlich sich entwickelnden Wald- beständen gewonnen wurden, zusammengefasst.","author":[{"dropping-particle":"","family":"Lässig","given":"Reinhard","non-dropping-particle":"","parse-names":false,"suffix":""},{"dropping-particle":"","family":"Motschalow","given":"Stansilaw A.","non-dropping-particle":"","parse-names":false,"suffix":""}],"container-title":"Wald und Holz","id":"ITEM-1","issued":{"date-parts":[["2000"]]},"note":"Regeneration Urwälder Europas nach Sturm? Zusammenf. verschiedener Erkenntnisse. Nach Sturm Baumartenspektrum hoch -&amp;gt; Samenangebot für Besiedelung gross. Windwurf = Waldverjüngung. Totholz wichtige Lebensgrundlage. Relevant weil Wichtigkeit Sturm und dass sich Wald nicht anpasst.","page":"39-43","title":"Vielfältige Strukturen nach Windwurf in Naturwäldern","type":"article-journal","volume":"12"},"uris":["http://www.mendeley.com/documents/?uuid=1c450594-abbe-4e6f-b169-d6d4124d8960"]}],"mendeley":{"formattedCitation":"&lt;sup&gt;12&lt;/sup&gt;","plainTextFormattedCitation":"12","previouslyFormattedCitation":"&lt;sup&gt;12&lt;/sup&gt;"},"properties":{"noteIndex":0},"schema":"https://github.com/citation-style-language/schema/raw/master/csl-citation.json"}</w:instrText>
      </w:r>
      <w:r w:rsidR="00881F47">
        <w:rPr>
          <w:rFonts w:eastAsia="Times New Roman" w:cs="Arial"/>
          <w:color w:val="000000"/>
          <w:shd w:val="clear" w:color="auto" w:fill="FFFFFF"/>
          <w:lang w:val="de-CH"/>
        </w:rPr>
        <w:fldChar w:fldCharType="separate"/>
      </w:r>
      <w:r w:rsidR="00EB3E0D" w:rsidRPr="00EB3E0D">
        <w:rPr>
          <w:rFonts w:eastAsia="Times New Roman" w:cs="Arial"/>
          <w:noProof/>
          <w:color w:val="000000"/>
          <w:shd w:val="clear" w:color="auto" w:fill="FFFFFF"/>
          <w:vertAlign w:val="superscript"/>
          <w:lang w:val="de-CH"/>
        </w:rPr>
        <w:t>12</w:t>
      </w:r>
      <w:r w:rsidR="00881F47">
        <w:rPr>
          <w:rFonts w:eastAsia="Times New Roman" w:cs="Arial"/>
          <w:color w:val="000000"/>
          <w:shd w:val="clear" w:color="auto" w:fill="FFFFFF"/>
          <w:lang w:val="de-CH"/>
        </w:rPr>
        <w:fldChar w:fldCharType="end"/>
      </w:r>
      <w:r w:rsidR="00881F47">
        <w:rPr>
          <w:rFonts w:eastAsia="Times New Roman" w:cs="Arial"/>
          <w:color w:val="000000"/>
          <w:shd w:val="clear" w:color="auto" w:fill="FFFFFF"/>
          <w:lang w:val="de-CH"/>
        </w:rPr>
        <w:t>.</w:t>
      </w:r>
      <w:r w:rsidRPr="00EE2FCC">
        <w:rPr>
          <w:rFonts w:eastAsia="Times New Roman" w:cs="Arial"/>
          <w:color w:val="000000"/>
          <w:shd w:val="clear" w:color="auto" w:fill="FFFFFF"/>
          <w:lang w:val="de-CH"/>
        </w:rPr>
        <w:t xml:space="preserve"> </w:t>
      </w:r>
      <w:r w:rsidR="00CA46BD">
        <w:rPr>
          <w:rFonts w:eastAsia="Times New Roman" w:cs="Arial"/>
          <w:color w:val="000000"/>
          <w:shd w:val="clear" w:color="auto" w:fill="FFFFFF"/>
          <w:lang w:val="de-CH"/>
        </w:rPr>
        <w:t>Extremereignisse wie wärmere Temperaturen oder stärkere Stürme nehmen mit hoher Wahrscheinlichkeit zu</w:t>
      </w:r>
      <w:r w:rsidR="00CA46BD">
        <w:rPr>
          <w:rFonts w:eastAsia="Times New Roman" w:cs="Arial"/>
          <w:color w:val="000000"/>
          <w:shd w:val="clear" w:color="auto" w:fill="FFFFFF"/>
          <w:lang w:val="de-CH"/>
        </w:rPr>
        <w:fldChar w:fldCharType="begin" w:fldLock="1"/>
      </w:r>
      <w:r w:rsidR="00CA46BD">
        <w:rPr>
          <w:rFonts w:eastAsia="Times New Roman" w:cs="Arial"/>
          <w:color w:val="000000"/>
          <w:shd w:val="clear" w:color="auto" w:fill="FFFFFF"/>
          <w:lang w:val="de-CH"/>
        </w:rPr>
        <w:instrText>ADDIN CSL_CITATION {"citationItems":[{"id":"ITEM-1","itemData":{"author":[{"dropping-particle":"","family":"IPCC","given":"","non-dropping-particle":"","parse-names":false,"suffix":""}],"container-title":"Zusammenfassungen für politische Entscheidungsträger. Beiträge der drei Arbeitsgruppen zum Fünften Sachstandsbericht des Zwischenstaatlichen Ausschusses für Klimaänderungen (IPCC). Deutsche Übersetzungen durch Deutsche IPCC-Koordinierungsstelle, Österreic","id":"ITEM-1","issued":{"date-parts":[["2013"]]},"note":"genommen, weil wir fürs Factsheet eine Quelle brauchen, die bestätigt, dass Extremwetterereignisse zunehmen","page":"28","title":"Klimaänderung 2013/2014 - Naturwissenschaftliche Grundlagen","type":"article-journal"},"uris":["http://www.mendeley.com/documents/?uuid=afffdaea-ba8b-40e1-b756-0401214ec54e"]}],"mendeley":{"formattedCitation":"&lt;sup&gt;30&lt;/sup&gt;","plainTextFormattedCitation":"30"},"properties":{"noteIndex":0},"schema":"https://github.com/citation-style-language/schema/raw/master/csl-citation.json"}</w:instrText>
      </w:r>
      <w:r w:rsidR="00CA46BD">
        <w:rPr>
          <w:rFonts w:eastAsia="Times New Roman" w:cs="Arial"/>
          <w:color w:val="000000"/>
          <w:shd w:val="clear" w:color="auto" w:fill="FFFFFF"/>
          <w:lang w:val="de-CH"/>
        </w:rPr>
        <w:fldChar w:fldCharType="separate"/>
      </w:r>
      <w:r w:rsidR="00CA46BD" w:rsidRPr="00CA46BD">
        <w:rPr>
          <w:rFonts w:eastAsia="Times New Roman" w:cs="Arial"/>
          <w:noProof/>
          <w:color w:val="000000"/>
          <w:shd w:val="clear" w:color="auto" w:fill="FFFFFF"/>
          <w:vertAlign w:val="superscript"/>
          <w:lang w:val="de-CH"/>
        </w:rPr>
        <w:t>30</w:t>
      </w:r>
      <w:r w:rsidR="00CA46BD">
        <w:rPr>
          <w:rFonts w:eastAsia="Times New Roman" w:cs="Arial"/>
          <w:color w:val="000000"/>
          <w:shd w:val="clear" w:color="auto" w:fill="FFFFFF"/>
          <w:lang w:val="de-CH"/>
        </w:rPr>
        <w:fldChar w:fldCharType="end"/>
      </w:r>
      <w:r w:rsidR="00881F47">
        <w:rPr>
          <w:rFonts w:eastAsia="Times New Roman" w:cs="Arial"/>
          <w:color w:val="000000"/>
          <w:shd w:val="clear" w:color="auto" w:fill="FFFFFF"/>
          <w:lang w:val="de-CH"/>
        </w:rPr>
        <w:t>.</w:t>
      </w:r>
      <w:r w:rsidRPr="00EE2FCC">
        <w:rPr>
          <w:rFonts w:eastAsia="Times New Roman" w:cs="Arial"/>
          <w:color w:val="000000"/>
          <w:shd w:val="clear" w:color="auto" w:fill="FFFFFF"/>
          <w:lang w:val="de-CH"/>
        </w:rPr>
        <w:t xml:space="preserve"> Extremereignis</w:t>
      </w:r>
      <w:r w:rsidR="00005B57">
        <w:rPr>
          <w:rFonts w:eastAsia="Times New Roman" w:cs="Arial"/>
          <w:color w:val="000000"/>
          <w:shd w:val="clear" w:color="auto" w:fill="FFFFFF"/>
          <w:lang w:val="de-CH"/>
        </w:rPr>
        <w:t>se schwächen den Wald zunehmend</w:t>
      </w:r>
      <w:r w:rsidRPr="00EE2FCC">
        <w:rPr>
          <w:rFonts w:eastAsia="Times New Roman" w:cs="Arial"/>
          <w:color w:val="000000"/>
          <w:shd w:val="clear" w:color="auto" w:fill="FFFFFF"/>
          <w:lang w:val="de-CH"/>
        </w:rPr>
        <w:t>, sodass eine längere Regenerationszeit erwartet wird</w:t>
      </w:r>
      <w:r w:rsidR="00881F47">
        <w:rPr>
          <w:rFonts w:eastAsia="Times New Roman" w:cs="Arial"/>
          <w:color w:val="000000"/>
          <w:shd w:val="clear" w:color="auto" w:fill="FFFFFF"/>
          <w:lang w:val="de-CH"/>
        </w:rPr>
        <w:fldChar w:fldCharType="begin" w:fldLock="1"/>
      </w:r>
      <w:r w:rsidR="0090638A">
        <w:rPr>
          <w:rFonts w:eastAsia="Times New Roman" w:cs="Arial"/>
          <w:color w:val="000000"/>
          <w:shd w:val="clear" w:color="auto" w:fill="FFFFFF"/>
          <w:lang w:val="de-CH"/>
        </w:rPr>
        <w:instrText>ADDIN CSL_CITATION {"citationItems":[{"id":"ITEM-1","itemData":{"author":[{"dropping-particle":"","family":"Elmqvist","given":"Thomas","non-dropping-particle":"","parse-names":false,"suffix":""},{"dropping-particle":"","family":"Rainey","given":"William E","non-dropping-particle":"","parse-names":false,"suffix":""},{"dropping-particle":"","family":"Pierson","given":"Elizabeth D","non-dropping-particle":"","parse-names":false,"suffix":""},{"dropping-particle":"","family":"Cox","given":"Paul A","non-dropping-particle":"","parse-names":false,"suffix":""}],"id":"ITEM-1","issue":"4","issued":{"date-parts":[["1994"]]},"note":"Habe ich nicht weiterverfolgt, weil der andere Artikel über die Wirbelstürme Ofa und Val interessanter ist, da dieser ein Extremereignis untersucht.","number-of-pages":"384-391","title":"Effects of Tropical Cyclones Ofa and Val on the Structure of a Samoan Lowland Rain","type":"report","volume":"26"},"uris":["http://www.mendeley.com/documents/?uuid=e706c715-7a48-3ed7-910c-4b245dfff0af"]}],"mendeley":{"formattedCitation":"&lt;sup&gt;31&lt;/sup&gt;","plainTextFormattedCitation":"31","previouslyFormattedCitation":"&lt;sup&gt;31&lt;/sup&gt;"},"properties":{"noteIndex":0},"schema":"https://github.com/citation-style-language/schema/raw/master/csl-citation.json"}</w:instrText>
      </w:r>
      <w:r w:rsidR="00881F47">
        <w:rPr>
          <w:rFonts w:eastAsia="Times New Roman" w:cs="Arial"/>
          <w:color w:val="000000"/>
          <w:shd w:val="clear" w:color="auto" w:fill="FFFFFF"/>
          <w:lang w:val="de-CH"/>
        </w:rPr>
        <w:fldChar w:fldCharType="separate"/>
      </w:r>
      <w:r w:rsidR="0090638A" w:rsidRPr="0090638A">
        <w:rPr>
          <w:rFonts w:eastAsia="Times New Roman" w:cs="Arial"/>
          <w:noProof/>
          <w:color w:val="000000"/>
          <w:shd w:val="clear" w:color="auto" w:fill="FFFFFF"/>
          <w:vertAlign w:val="superscript"/>
          <w:lang w:val="de-CH"/>
        </w:rPr>
        <w:t>31</w:t>
      </w:r>
      <w:r w:rsidR="00881F47">
        <w:rPr>
          <w:rFonts w:eastAsia="Times New Roman" w:cs="Arial"/>
          <w:color w:val="000000"/>
          <w:shd w:val="clear" w:color="auto" w:fill="FFFFFF"/>
          <w:lang w:val="de-CH"/>
        </w:rPr>
        <w:fldChar w:fldCharType="end"/>
      </w:r>
      <w:r w:rsidR="00881F47">
        <w:rPr>
          <w:rFonts w:eastAsia="Times New Roman" w:cs="Arial"/>
          <w:color w:val="000000"/>
          <w:shd w:val="clear" w:color="auto" w:fill="FFFFFF"/>
          <w:lang w:val="de-CH"/>
        </w:rPr>
        <w:t>.</w:t>
      </w:r>
      <w:r w:rsidRPr="00EE2FCC">
        <w:rPr>
          <w:rFonts w:eastAsia="Times New Roman" w:cs="Arial"/>
          <w:color w:val="000000"/>
          <w:shd w:val="clear" w:color="auto" w:fill="FFFFFF"/>
          <w:lang w:val="de-CH"/>
        </w:rPr>
        <w:t xml:space="preserve"> Durch Veränderungen der Wetterkonditionen und der Windstärke seit </w:t>
      </w:r>
      <w:r w:rsidR="00005B57">
        <w:rPr>
          <w:rFonts w:eastAsia="Times New Roman" w:cs="Arial"/>
          <w:color w:val="000000"/>
          <w:shd w:val="clear" w:color="auto" w:fill="FFFFFF"/>
          <w:lang w:val="de-CH"/>
        </w:rPr>
        <w:t xml:space="preserve">1858 </w:t>
      </w:r>
      <w:r w:rsidRPr="00EE2FCC">
        <w:rPr>
          <w:rFonts w:eastAsia="Times New Roman" w:cs="Arial"/>
          <w:color w:val="000000"/>
          <w:shd w:val="clear" w:color="auto" w:fill="FFFFFF"/>
          <w:lang w:val="de-CH"/>
        </w:rPr>
        <w:t>haben die Schäden an Schweizer Wäldern zugenommen</w:t>
      </w:r>
      <w:r w:rsidR="00881F47">
        <w:rPr>
          <w:rFonts w:eastAsia="Times New Roman" w:cs="Arial"/>
          <w:color w:val="000000"/>
          <w:shd w:val="clear" w:color="auto" w:fill="FFFFFF"/>
          <w:lang w:val="de-CH"/>
        </w:rPr>
        <w:fldChar w:fldCharType="begin" w:fldLock="1"/>
      </w:r>
      <w:r w:rsidR="00EB3E0D">
        <w:rPr>
          <w:rFonts w:eastAsia="Times New Roman" w:cs="Arial"/>
          <w:color w:val="000000"/>
          <w:shd w:val="clear" w:color="auto" w:fill="FFFFFF"/>
          <w:lang w:val="de-CH"/>
        </w:rPr>
        <w:instrText>ADDIN CSL_CITATION {"citationItems":[{"id":"ITEM-1","itemData":{"DOI":"10.1016/j.agrformet.2009.08.010","ISSN":"01681923","abstract":"The most severe damage to forests in Central Europe occurs during winter storms caused by Northern Hemispheric mid-latitude cyclones. Storm events in the winter semesters of the past 150 years were investigated to quantify changes and evaluate whether damage rates, forest properties and climate had changed. Records of damage extent (wind throw/snap/breakage), forest area and growing stock in Switzerland were comparatively analysed. Storm damage (m3) was 17 times greater during the period 1958-2007 than during the period 1908-1957 and 22 times greater than in the period 1858-1907. Forest area in Switzerland has increased by 63% and growing stock by 292% over the past 150 years. The significant recent increase in storm damage could only partially be explained by increased growing stock. Weather reports prior to storms indicated that severe storm damage occurred almost always when soils were unfrozen (96%) and wet (96%). During the observation period mean winter temperature has increased by nearly 2 °C and winter precipitation has increased by nearly 50% in the study region. In the Zurich region, daily maximum gust wind speed and storm damage were compared. Maximum gust wind speed above 35 m s-1 was associated with extensive storm damage. Catastrophic storm damage and maximum gust wind speed measured during storms have increased during recent decades. In conclusion, increasing growing stock, warm winter temperature and high precipitation, and even more markedly, increasing maximum gust wind speed have all contributed to the recent increase in windstorm damage to forests. © 2009 Elsevier B.V. All rights reserved.","author":[{"dropping-particle":"","family":"Usbeck","given":"Tilo","non-dropping-particle":"","parse-names":false,"suffix":""},{"dropping-particle":"","family":"Wohlgemuth","given":"Thomas","non-dropping-particle":"","parse-names":false,"suffix":""},{"dropping-particle":"","family":"Dobbertin","given":"Matthias","non-dropping-particle":"","parse-names":false,"suffix":""},{"dropping-particle":"","family":"Pfister","given":"Christian","non-dropping-particle":"","parse-names":false,"suffix":""},{"dropping-particle":"","family":"Bürgi","given":"Anton","non-dropping-particle":"","parse-names":false,"suffix":""},{"dropping-particle":"","family":"Rebetez","given":"Martine","non-dropping-particle":"","parse-names":false,"suffix":""}],"container-title":"Agricultural and Forest Meteorology","id":"ITEM-1","issue":"1","issued":{"date-parts":[["2010","1","15"]]},"page":"47-55","title":"Increasing storm damage to forests in Switzerland from 1858 to 2007","type":"article-journal","volume":"150"},"uris":["http://www.mendeley.com/documents/?uuid=b329b08f-9da8-3c70-ac80-bed6d2e209fc"]}],"mendeley":{"formattedCitation":"&lt;sup&gt;2&lt;/sup&gt;","plainTextFormattedCitation":"2","previouslyFormattedCitation":"&lt;sup&gt;2&lt;/sup&gt;"},"properties":{"noteIndex":0},"schema":"https://github.com/citation-style-language/schema/raw/master/csl-citation.json"}</w:instrText>
      </w:r>
      <w:r w:rsidR="00881F47">
        <w:rPr>
          <w:rFonts w:eastAsia="Times New Roman" w:cs="Arial"/>
          <w:color w:val="000000"/>
          <w:shd w:val="clear" w:color="auto" w:fill="FFFFFF"/>
          <w:lang w:val="de-CH"/>
        </w:rPr>
        <w:fldChar w:fldCharType="separate"/>
      </w:r>
      <w:r w:rsidR="00EB3E0D" w:rsidRPr="00EB3E0D">
        <w:rPr>
          <w:rFonts w:eastAsia="Times New Roman" w:cs="Arial"/>
          <w:noProof/>
          <w:color w:val="000000"/>
          <w:shd w:val="clear" w:color="auto" w:fill="FFFFFF"/>
          <w:vertAlign w:val="superscript"/>
          <w:lang w:val="de-CH"/>
        </w:rPr>
        <w:t>2</w:t>
      </w:r>
      <w:r w:rsidR="00881F47">
        <w:rPr>
          <w:rFonts w:eastAsia="Times New Roman" w:cs="Arial"/>
          <w:color w:val="000000"/>
          <w:shd w:val="clear" w:color="auto" w:fill="FFFFFF"/>
          <w:lang w:val="de-CH"/>
        </w:rPr>
        <w:fldChar w:fldCharType="end"/>
      </w:r>
      <w:r w:rsidR="00881F47">
        <w:rPr>
          <w:rFonts w:eastAsia="Times New Roman" w:cs="Arial"/>
          <w:color w:val="000000"/>
          <w:shd w:val="clear" w:color="auto" w:fill="FFFFFF"/>
          <w:lang w:val="de-CH"/>
        </w:rPr>
        <w:t>.</w:t>
      </w:r>
      <w:r w:rsidRPr="00EE2FCC">
        <w:rPr>
          <w:rFonts w:eastAsia="Times New Roman" w:cs="Arial"/>
          <w:color w:val="000000"/>
          <w:shd w:val="clear" w:color="auto" w:fill="FFFFFF"/>
          <w:lang w:val="de-CH"/>
        </w:rPr>
        <w:t xml:space="preserve"> </w:t>
      </w:r>
    </w:p>
    <w:p w14:paraId="0603F7FD" w14:textId="63192A09" w:rsidR="00B34357" w:rsidRPr="00EE2FCC" w:rsidRDefault="00EE2FCC" w:rsidP="00B34357">
      <w:pPr>
        <w:pStyle w:val="berschrift3"/>
        <w:rPr>
          <w:lang w:val="en-US"/>
        </w:rPr>
      </w:pPr>
      <w:r w:rsidRPr="00EE2FCC">
        <w:rPr>
          <w:lang w:val="en-US"/>
        </w:rPr>
        <w:t>Increasing storm damage to forests in Switzerland from 1858 to 2007 (2010)</w:t>
      </w:r>
      <w:r w:rsidR="00915C0D">
        <w:rPr>
          <w:lang w:val="en-US"/>
        </w:rPr>
        <w:fldChar w:fldCharType="begin" w:fldLock="1"/>
      </w:r>
      <w:r w:rsidR="00EB3E0D">
        <w:rPr>
          <w:lang w:val="en-US"/>
        </w:rPr>
        <w:instrText>ADDIN CSL_CITATION {"citationItems":[{"id":"ITEM-1","itemData":{"DOI":"10.1016/j.agrformet.2009.08.010","ISSN":"01681923","abstract":"The most severe damage to forests in Central Europe occurs during winter storms caused by Northern Hemispheric mid-latitude cyclones. Storm events in the winter semesters of the past 150 years were investigated to quantify changes and evaluate whether damage rates, forest properties and climate had changed. Records of damage extent (wind throw/snap/breakage), forest area and growing stock in Switzerland were comparatively analysed. Storm damage (m3) was 17 times greater during the period 1958-2007 than during the period 1908-1957 and 22 times greater than in the period 1858-1907. Forest area in Switzerland has increased by 63% and growing stock by 292% over the past 150 years. The significant recent increase in storm damage could only partially be explained by increased growing stock. Weather reports prior to storms indicated that severe storm damage occurred almost always when soils were unfrozen (96%) and wet (96%). During the observation period mean winter temperature has increased by nearly 2 °C and winter precipitation has increased by nearly 50% in the study region. In the Zurich region, daily maximum gust wind speed and storm damage were compared. Maximum gust wind speed above 35 m s-1 was associated with extensive storm damage. Catastrophic storm damage and maximum gust wind speed measured during storms have increased during recent decades. In conclusion, increasing growing stock, warm winter temperature and high precipitation, and even more markedly, increasing maximum gust wind speed have all contributed to the recent increase in windstorm damage to forests. © 2009 Elsevier B.V. All rights reserved.","author":[{"dropping-particle":"","family":"Usbeck","given":"Tilo","non-dropping-particle":"","parse-names":false,"suffix":""},{"dropping-particle":"","family":"Wohlgemuth","given":"Thomas","non-dropping-particle":"","parse-names":false,"suffix":""},{"dropping-particle":"","family":"Dobbertin","given":"Matthias","non-dropping-particle":"","parse-names":false,"suffix":""},{"dropping-particle":"","family":"Pfister","given":"Christian","non-dropping-particle":"","parse-names":false,"suffix":""},{"dropping-particle":"","family":"Bürgi","given":"Anton","non-dropping-particle":"","parse-names":false,"suffix":""},{"dropping-particle":"","family":"Rebetez","given":"Martine","non-dropping-particle":"","parse-names":false,"suffix":""}],"container-title":"Agricultural and Forest Meteorology","id":"ITEM-1","issue":"1","issued":{"date-parts":[["2010","1","15"]]},"page":"47-55","title":"Increasing storm damage to forests in Switzerland from 1858 to 2007","type":"article-journal","volume":"150"},"uris":["http://www.mendeley.com/documents/?uuid=b329b08f-9da8-3c70-ac80-bed6d2e209fc"]}],"mendeley":{"formattedCitation":"&lt;sup&gt;2&lt;/sup&gt;","plainTextFormattedCitation":"2","previouslyFormattedCitation":"&lt;sup&gt;2&lt;/sup&gt;"},"properties":{"noteIndex":0},"schema":"https://github.com/citation-style-language/schema/raw/master/csl-citation.json"}</w:instrText>
      </w:r>
      <w:r w:rsidR="00915C0D">
        <w:rPr>
          <w:lang w:val="en-US"/>
        </w:rPr>
        <w:fldChar w:fldCharType="separate"/>
      </w:r>
      <w:r w:rsidR="00EB3E0D" w:rsidRPr="00EB3E0D">
        <w:rPr>
          <w:noProof/>
          <w:vertAlign w:val="superscript"/>
          <w:lang w:val="en-US"/>
        </w:rPr>
        <w:t>2</w:t>
      </w:r>
      <w:r w:rsidR="00915C0D">
        <w:rPr>
          <w:lang w:val="en-US"/>
        </w:rPr>
        <w:fldChar w:fldCharType="end"/>
      </w:r>
    </w:p>
    <w:p w14:paraId="6EB1BFE5" w14:textId="77777777" w:rsidR="00915C0D" w:rsidRPr="00915C0D" w:rsidRDefault="00915C0D" w:rsidP="00915C0D">
      <w:pPr>
        <w:jc w:val="both"/>
        <w:rPr>
          <w:rFonts w:cs="Arial"/>
          <w:lang w:val="de-CH"/>
        </w:rPr>
      </w:pPr>
      <w:r w:rsidRPr="00915C0D">
        <w:rPr>
          <w:rFonts w:cs="Arial"/>
          <w:lang w:val="de-CH"/>
        </w:rPr>
        <w:t xml:space="preserve">Hat Wintersturm Schaden in CH seit 1858 zugenommen, Indikatoren </w:t>
      </w:r>
      <w:proofErr w:type="gramStart"/>
      <w:r w:rsidRPr="00915C0D">
        <w:rPr>
          <w:rFonts w:cs="Arial"/>
          <w:lang w:val="de-CH"/>
        </w:rPr>
        <w:t>die Schaden</w:t>
      </w:r>
      <w:proofErr w:type="gramEnd"/>
      <w:r w:rsidRPr="00915C0D">
        <w:rPr>
          <w:rFonts w:cs="Arial"/>
          <w:lang w:val="de-CH"/>
        </w:rPr>
        <w:t xml:space="preserve"> beeinflussen, Veränderungen? </w:t>
      </w:r>
      <w:proofErr w:type="gramStart"/>
      <w:r w:rsidRPr="00915C0D">
        <w:rPr>
          <w:rFonts w:cs="Arial"/>
          <w:lang w:val="de-CH"/>
        </w:rPr>
        <w:t>Mittels historischen Daten</w:t>
      </w:r>
      <w:proofErr w:type="gramEnd"/>
      <w:r w:rsidRPr="00915C0D">
        <w:rPr>
          <w:rFonts w:cs="Arial"/>
          <w:lang w:val="de-CH"/>
        </w:rPr>
        <w:t xml:space="preserve">. Stürme stärker, Wetter wärmer, schlechtere Bodenstabilität -&gt; mehr Schaden am Wald. </w:t>
      </w:r>
      <w:proofErr w:type="gramStart"/>
      <w:r w:rsidRPr="00915C0D">
        <w:rPr>
          <w:rFonts w:cs="Arial"/>
          <w:lang w:val="de-CH"/>
        </w:rPr>
        <w:t>Relevant</w:t>
      </w:r>
      <w:proofErr w:type="gramEnd"/>
      <w:r w:rsidRPr="00915C0D">
        <w:rPr>
          <w:rFonts w:cs="Arial"/>
          <w:lang w:val="de-CH"/>
        </w:rPr>
        <w:t xml:space="preserve"> weil beobachtet über längere Zeit -&gt; Klimawandel.</w:t>
      </w:r>
    </w:p>
    <w:p w14:paraId="6DFFCE3F" w14:textId="6A739603" w:rsidR="00B34357" w:rsidRPr="00EE2FCC" w:rsidRDefault="00EE2FCC" w:rsidP="00B34357">
      <w:pPr>
        <w:pStyle w:val="berschrift3"/>
        <w:rPr>
          <w:lang w:val="en-US"/>
        </w:rPr>
      </w:pPr>
      <w:r w:rsidRPr="00EE2FCC">
        <w:rPr>
          <w:lang w:val="en-US"/>
        </w:rPr>
        <w:t>The Long-Term Effects of Wind Disturbance on a Sitka Spruce-Western Hemlock Forest</w:t>
      </w:r>
      <w:r w:rsidR="00EB3E0D">
        <w:rPr>
          <w:lang w:val="en-US"/>
        </w:rPr>
        <w:fldChar w:fldCharType="begin" w:fldLock="1"/>
      </w:r>
      <w:r w:rsidR="0090638A">
        <w:rPr>
          <w:lang w:val="en-US"/>
        </w:rPr>
        <w:instrText>ADDIN CSL_CITATION {"citationItems":[{"id":"ITEM-1","itemData":{"DOI":"10.1016/0378-1127(94)90114-7","ISSN":"03781127","abstract":"The extensive literature on natural disturbance in forests is reviewed in terms of the hypotheses: (1) that disturbance is a major force moulding the development, structure and function of forests; and (b) that management of forests for all their benefits can be controlled so that the effects can be contained within those which result from natural disturbance. The causal factors of natural disturbance are both endogenous and exogenous; there are major difficulties in the formal characterization of disturbance and of recovery after disturbance. As to the latter, the acceptance of classical generalizations of the nature of succession has led to particular difficulties in the assessment and interpretation of recovery. Tree fall, which creates gaps, is fundamental to the development of many forests, and has been most intensively studied in tropical forests of Central America and the Amazon and in temperate forests of North America. Tree fall is part of autogenic change; mechanisms of gap-filling and subsequent growth and species composition vary widely with forest type and geography. Disturbance by wind is particularly difficult to characterize. Wind varies along a continuum; the blow-down of an individual tree may be mostly due to autogenic processes of ageing and decay, whereas catastrophic hurricanes and cyclones may be defined as wholly exogenous. Nevertheless, the resilience in terms of species diversity of tropical forests following catastrophic disturbance by hurricane is remarkable. A number of studies support the view that the tropical forest in hurricane-prone areas is not a stable steady-state ecosystem but rather that heterogeneity is maintained by catastrophe. The ability to regenerate by suckers and the coincidence of regenerative space and gregarious flowering are important components of the response of rainforest following disturbance. For much of the world, 'fire is the dominant fact of forest history'. As examples, fire and its effects are reviewed for the northern boreal forests, oak-pine forests and north-western sub-alpine forests of North America. The effect of fire on species composition varies with intensity and frequency. That, together with the popular view of fire as unnatural and therefore unacceptable, places great demands on management of forests for all of their benefits, including national parks and reserves. These difficulties also affect management of other ecosystems, such as Mediterranean-type shrublands and heathlands wh…","author":[{"dropping-particle":"","family":"Attiwill","given":"Peter M.","non-dropping-particle":"","parse-names":false,"suffix":""}],"container-title":"Forest Ecology and Management","id":"ITEM-1","issue":"2-3","issued":{"date-parts":[["1994","2","1"]]},"note":"Verworfen weil hauptsächlich über Störungsmechanismen und Management, nicht über Resilienzfaktoren und es ist über 25 Jahre alt","page":"247-300","publisher":"Elsevier","title":"The disturbance of forest ecosystems: the ecological basis for conservative management","type":"article-journal","volume":"63"},"uris":["http://www.mendeley.com/documents/?uuid=b0e0d908-75d6-36ab-b878-dd94abc2aed0"]}],"mendeley":{"formattedCitation":"&lt;sup&gt;6&lt;/sup&gt;","plainTextFormattedCitation":"6","previouslyFormattedCitation":"&lt;sup&gt;6&lt;/sup&gt;"},"properties":{"noteIndex":0},"schema":"https://github.com/citation-style-language/schema/raw/master/csl-citation.json"}</w:instrText>
      </w:r>
      <w:r w:rsidR="00EB3E0D">
        <w:rPr>
          <w:lang w:val="en-US"/>
        </w:rPr>
        <w:fldChar w:fldCharType="separate"/>
      </w:r>
      <w:r w:rsidR="00EB3E0D" w:rsidRPr="00EB3E0D">
        <w:rPr>
          <w:noProof/>
          <w:vertAlign w:val="superscript"/>
          <w:lang w:val="en-US"/>
        </w:rPr>
        <w:t>6</w:t>
      </w:r>
      <w:r w:rsidR="00EB3E0D">
        <w:rPr>
          <w:lang w:val="en-US"/>
        </w:rPr>
        <w:fldChar w:fldCharType="end"/>
      </w:r>
    </w:p>
    <w:p w14:paraId="0D8DEF30" w14:textId="77777777" w:rsidR="00915C0D" w:rsidRPr="00915C0D" w:rsidRDefault="00915C0D" w:rsidP="00915C0D">
      <w:pPr>
        <w:jc w:val="both"/>
        <w:rPr>
          <w:rFonts w:cs="Arial"/>
          <w:lang w:val="de-CH"/>
        </w:rPr>
      </w:pPr>
      <w:r w:rsidRPr="00915C0D">
        <w:rPr>
          <w:rFonts w:cs="Arial"/>
          <w:lang w:val="de-CH"/>
        </w:rPr>
        <w:t xml:space="preserve">Entwicklung Wald Oregon über 78J. </w:t>
      </w:r>
      <w:proofErr w:type="spellStart"/>
      <w:r w:rsidRPr="00915C0D">
        <w:rPr>
          <w:rFonts w:cs="Arial"/>
          <w:lang w:val="de-CH"/>
        </w:rPr>
        <w:t>post</w:t>
      </w:r>
      <w:proofErr w:type="spellEnd"/>
      <w:r w:rsidRPr="00915C0D">
        <w:rPr>
          <w:rFonts w:cs="Arial"/>
          <w:lang w:val="de-CH"/>
        </w:rPr>
        <w:t xml:space="preserve"> Stürmen. Historische Daten, Beobachtung vor Ort. Effekt Sturm = kumulativ. </w:t>
      </w:r>
      <w:proofErr w:type="spellStart"/>
      <w:r w:rsidRPr="00915C0D">
        <w:rPr>
          <w:rFonts w:cs="Arial"/>
          <w:lang w:val="de-CH"/>
        </w:rPr>
        <w:t>Windind</w:t>
      </w:r>
      <w:proofErr w:type="spellEnd"/>
      <w:r w:rsidRPr="00915C0D">
        <w:rPr>
          <w:rFonts w:cs="Arial"/>
          <w:lang w:val="de-CH"/>
        </w:rPr>
        <w:t>. Mortalität 5-6x zugenommen. Biomasse runter, Bäume pro ha hoch. NPP nur beeinflusst, wenn Mortalität &gt;50%. Relevant weil Langzeitbeobachtung Stürme/Walddynamik.</w:t>
      </w:r>
    </w:p>
    <w:p w14:paraId="32A6E69F" w14:textId="21652FFC" w:rsidR="00B34357" w:rsidRDefault="00EE2FCC" w:rsidP="00B34357">
      <w:pPr>
        <w:pStyle w:val="berschrift3"/>
      </w:pPr>
      <w:r>
        <w:t>Vielfältige Strukturen nach Windwurf in Naturwäldern (2000)</w:t>
      </w:r>
      <w:r w:rsidR="00E779C5">
        <w:fldChar w:fldCharType="begin" w:fldLock="1"/>
      </w:r>
      <w:r w:rsidR="00EB3E0D">
        <w:instrText>ADDIN CSL_CITATION {"citationItems":[{"id":"ITEM-1","itemData":{"abstract":"Stürme führen auch in Natur- und Urwäldern zu Windwürfen. Dies lässt sich in den wenigen ursprüng- lichen, zumeist unter Schutz stehenden Waldgebieten Nord-, Ost- und Südosteuropas beobachten. Nach «Vivian» und «Lothar» sind viele Fachleute aus der Schweiz daran interessiert, mehr über natürliche Entwicklungsprozesse in Natur- und Urwäldern zu erfahren. Das drückt sich in der zunehmenden Anzahl an Fachreisen in mittelosteuropäische Urwälder aus (z. B. [11], Abb.1). Wir haben darum Er- fahrungen und Forschungsergebnisse, die nach Windwürfen in natürlich sich entwickelnden Wald- beständen gewonnen wurden, zusammengefasst.","author":[{"dropping-particle":"","family":"Lässig","given":"Reinhard","non-dropping-particle":"","parse-names":false,"suffix":""},{"dropping-particle":"","family":"Motschalow","given":"Stansilaw A.","non-dropping-particle":"","parse-names":false,"suffix":""}],"container-title":"Wald und Holz","id":"ITEM-1","issued":{"date-parts":[["2000"]]},"note":"Regeneration Urwälder Europas nach Sturm? Zusammenf. verschiedener Erkenntnisse. Nach Sturm Baumartenspektrum hoch -&amp;gt; Samenangebot für Besiedelung gross. Windwurf = Waldverjüngung. Totholz wichtige Lebensgrundlage. Relevant weil Wichtigkeit Sturm und dass sich Wald nicht anpasst.","page":"39-43","title":"Vielfältige Strukturen nach Windwurf in Naturwäldern","type":"article-journal","volume":"12"},"uris":["http://www.mendeley.com/documents/?uuid=1c450594-abbe-4e6f-b169-d6d4124d8960"]}],"mendeley":{"formattedCitation":"&lt;sup&gt;12&lt;/sup&gt;","plainTextFormattedCitation":"12","previouslyFormattedCitation":"&lt;sup&gt;12&lt;/sup&gt;"},"properties":{"noteIndex":0},"schema":"https://github.com/citation-style-language/schema/raw/master/csl-citation.json"}</w:instrText>
      </w:r>
      <w:r w:rsidR="00E779C5">
        <w:fldChar w:fldCharType="separate"/>
      </w:r>
      <w:r w:rsidR="00EB3E0D" w:rsidRPr="00EB3E0D">
        <w:rPr>
          <w:noProof/>
          <w:vertAlign w:val="superscript"/>
        </w:rPr>
        <w:t>12</w:t>
      </w:r>
      <w:r w:rsidR="00E779C5">
        <w:fldChar w:fldCharType="end"/>
      </w:r>
    </w:p>
    <w:p w14:paraId="09EB38E2" w14:textId="77777777" w:rsidR="00915C0D" w:rsidRPr="00915C0D" w:rsidRDefault="00915C0D" w:rsidP="00915C0D">
      <w:pPr>
        <w:jc w:val="both"/>
        <w:rPr>
          <w:rFonts w:cs="Arial"/>
          <w:lang w:val="de-CH"/>
        </w:rPr>
      </w:pPr>
      <w:r w:rsidRPr="00915C0D">
        <w:rPr>
          <w:rFonts w:cs="Arial"/>
          <w:lang w:val="de-CH"/>
        </w:rPr>
        <w:t xml:space="preserve">Regeneration Urwälder Europas nach Sturm? </w:t>
      </w:r>
      <w:proofErr w:type="spellStart"/>
      <w:r w:rsidRPr="00915C0D">
        <w:rPr>
          <w:rFonts w:cs="Arial"/>
          <w:lang w:val="de-CH"/>
        </w:rPr>
        <w:t>Zusammenf</w:t>
      </w:r>
      <w:proofErr w:type="spellEnd"/>
      <w:r w:rsidRPr="00915C0D">
        <w:rPr>
          <w:rFonts w:cs="Arial"/>
          <w:lang w:val="de-CH"/>
        </w:rPr>
        <w:t>. verschiedener Erkenntnisse. Nach Sturm Baumartenspektrum hoch -&gt; Samenangebot für Besiedelung gross. Windwurf = Waldverjüngung. Totholz wichtige Lebensgrundlage. Relevant weil Wichtigkeit Sturm und dass sich Wald nicht anpasst.</w:t>
      </w:r>
    </w:p>
    <w:p w14:paraId="17E01D4B" w14:textId="282B515C" w:rsidR="00EE2FCC" w:rsidRPr="00881F47" w:rsidRDefault="00BF463A" w:rsidP="00EE2FCC">
      <w:pPr>
        <w:pStyle w:val="berschrift3"/>
        <w:rPr>
          <w:rFonts w:cs="Times New Roman"/>
          <w:lang w:val="en-US"/>
        </w:rPr>
      </w:pPr>
      <w:r w:rsidRPr="00BF463A">
        <w:rPr>
          <w:lang w:val="en-US"/>
        </w:rPr>
        <w:t xml:space="preserve">KLIMAÄNDERUNG 2013 </w:t>
      </w:r>
      <w:proofErr w:type="spellStart"/>
      <w:r w:rsidRPr="00BF463A">
        <w:rPr>
          <w:lang w:val="en-US"/>
        </w:rPr>
        <w:t>Naturwissenschaftliche</w:t>
      </w:r>
      <w:proofErr w:type="spellEnd"/>
      <w:r w:rsidRPr="00BF463A">
        <w:rPr>
          <w:lang w:val="en-US"/>
        </w:rPr>
        <w:t xml:space="preserve"> </w:t>
      </w:r>
      <w:proofErr w:type="spellStart"/>
      <w:r w:rsidRPr="00BF463A">
        <w:rPr>
          <w:lang w:val="en-US"/>
        </w:rPr>
        <w:t>Grundlagen</w:t>
      </w:r>
      <w:r>
        <w:rPr>
          <w:lang w:val="en-US"/>
        </w:rPr>
        <w:t>-</w:t>
      </w:r>
      <w:r w:rsidRPr="00BF463A">
        <w:rPr>
          <w:lang w:val="en-US"/>
        </w:rPr>
        <w:t>Zusammenfassung</w:t>
      </w:r>
      <w:proofErr w:type="spellEnd"/>
      <w:r w:rsidRPr="00BF463A">
        <w:rPr>
          <w:lang w:val="en-US"/>
        </w:rPr>
        <w:t xml:space="preserve"> </w:t>
      </w:r>
      <w:proofErr w:type="spellStart"/>
      <w:r w:rsidRPr="00BF463A">
        <w:rPr>
          <w:lang w:val="en-US"/>
        </w:rPr>
        <w:t>für</w:t>
      </w:r>
      <w:proofErr w:type="spellEnd"/>
      <w:r w:rsidRPr="00BF463A">
        <w:rPr>
          <w:lang w:val="en-US"/>
        </w:rPr>
        <w:t xml:space="preserve"> </w:t>
      </w:r>
      <w:proofErr w:type="spellStart"/>
      <w:r w:rsidRPr="00BF463A">
        <w:rPr>
          <w:lang w:val="en-US"/>
        </w:rPr>
        <w:t>politische</w:t>
      </w:r>
      <w:proofErr w:type="spellEnd"/>
      <w:r w:rsidRPr="00BF463A">
        <w:rPr>
          <w:lang w:val="en-US"/>
        </w:rPr>
        <w:t xml:space="preserve"> Entscheidungsträge</w:t>
      </w:r>
      <w:r>
        <w:rPr>
          <w:lang w:val="en-US"/>
        </w:rPr>
        <w:fldChar w:fldCharType="begin" w:fldLock="1"/>
      </w:r>
      <w:r w:rsidR="00CA46BD">
        <w:rPr>
          <w:lang w:val="en-US"/>
        </w:rPr>
        <w:instrText>ADDIN CSL_CITATION {"citationItems":[{"id":"ITEM-1","itemData":{"author":[{"dropping-particle":"","family":"IPCC","given":"","non-dropping-particle":"","parse-names":false,"suffix":""}],"container-title":"Zusammenfassungen für politische Entscheidungsträger. Beiträge der drei Arbeitsgruppen zum Fünften Sachstandsbericht des Zwischenstaatlichen Ausschusses für Klimaänderungen (IPCC). Deutsche Übersetzungen durch Deutsche IPCC-Koordinierungsstelle, Österreic","id":"ITEM-1","issued":{"date-parts":[["2013"]]},"note":"genommen, weil wir fürs Factsheet eine Quelle brauchen, die bestätigt, dass Extremwetterereignisse zunehmen","page":"28","title":"Klimaänderung 2013/2014 - Naturwissenschaftliche Grundlagen","type":"article-journal"},"uris":["http://www.mendeley.com/documents/?uuid=afffdaea-ba8b-40e1-b756-0401214ec54e"]}],"mendeley":{"formattedCitation":"&lt;sup&gt;30&lt;/sup&gt;","plainTextFormattedCitation":"30","previouslyFormattedCitation":"&lt;sup&gt;32&lt;/sup&gt;"},"properties":{"noteIndex":0},"schema":"https://github.com/citation-style-language/schema/raw/master/csl-citation.json"}</w:instrText>
      </w:r>
      <w:r>
        <w:rPr>
          <w:lang w:val="en-US"/>
        </w:rPr>
        <w:fldChar w:fldCharType="separate"/>
      </w:r>
      <w:r w:rsidR="00CA46BD" w:rsidRPr="00CA46BD">
        <w:rPr>
          <w:noProof/>
          <w:vertAlign w:val="superscript"/>
          <w:lang w:val="en-US"/>
        </w:rPr>
        <w:t>30</w:t>
      </w:r>
      <w:r>
        <w:rPr>
          <w:lang w:val="en-US"/>
        </w:rPr>
        <w:fldChar w:fldCharType="end"/>
      </w:r>
    </w:p>
    <w:p w14:paraId="1CB7BA2B" w14:textId="79C38D00" w:rsidR="00915C0D" w:rsidRPr="00915C0D" w:rsidRDefault="00BF463A" w:rsidP="00915C0D">
      <w:pPr>
        <w:jc w:val="both"/>
        <w:rPr>
          <w:rFonts w:cs="Arial"/>
          <w:lang w:val="de-CH"/>
        </w:rPr>
      </w:pPr>
      <w:r>
        <w:rPr>
          <w:rFonts w:cs="Arial"/>
          <w:lang w:val="de-CH"/>
        </w:rPr>
        <w:t>Untersucht, welche Extrem(</w:t>
      </w:r>
      <w:proofErr w:type="spellStart"/>
      <w:r>
        <w:rPr>
          <w:rFonts w:cs="Arial"/>
          <w:lang w:val="de-CH"/>
        </w:rPr>
        <w:t>wetter</w:t>
      </w:r>
      <w:proofErr w:type="spellEnd"/>
      <w:r>
        <w:rPr>
          <w:rFonts w:cs="Arial"/>
          <w:lang w:val="de-CH"/>
        </w:rPr>
        <w:t>)</w:t>
      </w:r>
      <w:proofErr w:type="spellStart"/>
      <w:r>
        <w:rPr>
          <w:rFonts w:cs="Arial"/>
          <w:lang w:val="de-CH"/>
        </w:rPr>
        <w:t>ereignisse</w:t>
      </w:r>
      <w:proofErr w:type="spellEnd"/>
      <w:r>
        <w:rPr>
          <w:rFonts w:cs="Arial"/>
          <w:lang w:val="de-CH"/>
        </w:rPr>
        <w:t xml:space="preserve"> mit welcher Wahrscheinlichkeit wo zunehmen. </w:t>
      </w:r>
      <w:r w:rsidR="00CA46BD">
        <w:rPr>
          <w:rFonts w:cs="Arial"/>
          <w:lang w:val="de-CH"/>
        </w:rPr>
        <w:t>Fakt ist, dass eine generelle Zunahme dieser seit ca. 1950 beobachtet wird.</w:t>
      </w:r>
    </w:p>
    <w:p w14:paraId="6BCEE0C5" w14:textId="20F17BA1" w:rsidR="00EE2FCC" w:rsidRPr="00881F47" w:rsidRDefault="00EE2FCC" w:rsidP="00EE2FCC">
      <w:pPr>
        <w:pStyle w:val="berschrift3"/>
        <w:rPr>
          <w:lang w:val="en-US"/>
        </w:rPr>
      </w:pPr>
      <w:r w:rsidRPr="00881F47">
        <w:rPr>
          <w:lang w:val="en-US"/>
        </w:rPr>
        <w:t xml:space="preserve">Effects of Tropical Cyclones </w:t>
      </w:r>
      <w:proofErr w:type="spellStart"/>
      <w:r w:rsidRPr="00881F47">
        <w:rPr>
          <w:lang w:val="en-US"/>
        </w:rPr>
        <w:t>Ofa</w:t>
      </w:r>
      <w:proofErr w:type="spellEnd"/>
      <w:r w:rsidRPr="00881F47">
        <w:rPr>
          <w:lang w:val="en-US"/>
        </w:rPr>
        <w:t xml:space="preserve"> and Val on the Structure of a Samoan Lowland Rain Forest (1994)</w:t>
      </w:r>
      <w:r w:rsidR="00EB3E0D">
        <w:rPr>
          <w:lang w:val="en-US"/>
        </w:rPr>
        <w:fldChar w:fldCharType="begin" w:fldLock="1"/>
      </w:r>
      <w:r w:rsidR="0090638A">
        <w:rPr>
          <w:lang w:val="en-US"/>
        </w:rPr>
        <w:instrText>ADDIN CSL_CITATION {"citationItems":[{"id":"ITEM-1","itemData":{"author":[{"dropping-particle":"","family":"Elmqvist","given":"Thomas","non-dropping-particle":"","parse-names":false,"suffix":""},{"dropping-particle":"","family":"Rainey","given":"William E","non-dropping-particle":"","parse-names":false,"suffix":""},{"dropping-particle":"","family":"Pierson","given":"Elizabeth D","non-dropping-particle":"","parse-names":false,"suffix":""},{"dropping-particle":"","family":"Cox","given":"Paul A","non-dropping-particle":"","parse-names":false,"suffix":""}],"id":"ITEM-1","issue":"4","issued":{"date-parts":[["1994"]]},"note":"Habe ich nicht weiterverfolgt, weil der andere Artikel über die Wirbelstürme Ofa und Val interessanter ist, da dieser ein Extremereignis untersucht.","number-of-pages":"384-391","title":"Effects of Tropical Cyclones Ofa and Val on the Structure of a Samoan Lowland Rain","type":"report","volume":"26"},"uris":["http://www.mendeley.com/documents/?uuid=e706c715-7a48-3ed7-910c-4b245dfff0af"]}],"mendeley":{"formattedCitation":"&lt;sup&gt;31&lt;/sup&gt;","plainTextFormattedCitation":"31","previouslyFormattedCitation":"&lt;sup&gt;31&lt;/sup&gt;"},"properties":{"noteIndex":0},"schema":"https://github.com/citation-style-language/schema/raw/master/csl-citation.json"}</w:instrText>
      </w:r>
      <w:r w:rsidR="00EB3E0D">
        <w:rPr>
          <w:lang w:val="en-US"/>
        </w:rPr>
        <w:fldChar w:fldCharType="separate"/>
      </w:r>
      <w:r w:rsidR="0090638A" w:rsidRPr="0090638A">
        <w:rPr>
          <w:noProof/>
          <w:vertAlign w:val="superscript"/>
          <w:lang w:val="en-US"/>
        </w:rPr>
        <w:t>31</w:t>
      </w:r>
      <w:r w:rsidR="00EB3E0D">
        <w:rPr>
          <w:lang w:val="en-US"/>
        </w:rPr>
        <w:fldChar w:fldCharType="end"/>
      </w:r>
      <w:r w:rsidR="00EB3E0D" w:rsidRPr="00881F47">
        <w:rPr>
          <w:lang w:val="en-US"/>
        </w:rPr>
        <w:t xml:space="preserve"> </w:t>
      </w:r>
    </w:p>
    <w:p w14:paraId="3F49C96D" w14:textId="77777777" w:rsidR="00915C0D" w:rsidRPr="00915C0D" w:rsidRDefault="00915C0D" w:rsidP="00915C0D">
      <w:pPr>
        <w:jc w:val="both"/>
        <w:rPr>
          <w:rFonts w:cs="Arial"/>
          <w:lang w:val="de-CH"/>
        </w:rPr>
      </w:pPr>
      <w:r w:rsidRPr="00915C0D">
        <w:rPr>
          <w:rFonts w:cs="Arial"/>
          <w:lang w:val="de-CH"/>
        </w:rPr>
        <w:t xml:space="preserve">Effekt 2 starker Zyklone nacheinander, Regenwald Samoa? Feldbegehungen. Mortalität 53%. Überschirmungsdach von 100% auf 27%. Bäume Stelzwurzeln/Strebewerk eher nicht entwurzelt. Grosse Löcher im Wald -&gt; lange </w:t>
      </w:r>
      <w:proofErr w:type="spellStart"/>
      <w:r w:rsidRPr="00915C0D">
        <w:rPr>
          <w:rFonts w:cs="Arial"/>
          <w:lang w:val="de-CH"/>
        </w:rPr>
        <w:t>Reg.zeit</w:t>
      </w:r>
      <w:proofErr w:type="spellEnd"/>
      <w:r w:rsidRPr="00915C0D">
        <w:rPr>
          <w:rFonts w:cs="Arial"/>
          <w:lang w:val="de-CH"/>
        </w:rPr>
        <w:t xml:space="preserve"> erwartet. Weniger </w:t>
      </w:r>
      <w:proofErr w:type="spellStart"/>
      <w:r w:rsidRPr="00915C0D">
        <w:rPr>
          <w:rFonts w:cs="Arial"/>
          <w:lang w:val="de-CH"/>
        </w:rPr>
        <w:t>samenverbr</w:t>
      </w:r>
      <w:proofErr w:type="spellEnd"/>
      <w:r w:rsidRPr="00915C0D">
        <w:rPr>
          <w:rFonts w:cs="Arial"/>
          <w:lang w:val="de-CH"/>
        </w:rPr>
        <w:t>. Arten. Relevant weil Extremereignis.</w:t>
      </w:r>
    </w:p>
    <w:p w14:paraId="561F5C38" w14:textId="77777777" w:rsidR="002C11D3" w:rsidRDefault="002C11D3" w:rsidP="00EE2FCC">
      <w:pPr>
        <w:jc w:val="both"/>
        <w:rPr>
          <w:rFonts w:eastAsia="Times New Roman" w:cs="Times New Roman"/>
          <w:sz w:val="20"/>
          <w:szCs w:val="20"/>
          <w:lang w:val="de-CH"/>
        </w:rPr>
      </w:pPr>
    </w:p>
    <w:p w14:paraId="38792497" w14:textId="77777777" w:rsidR="002C11D3" w:rsidRDefault="002C11D3" w:rsidP="00EE2FCC">
      <w:pPr>
        <w:jc w:val="both"/>
        <w:rPr>
          <w:rFonts w:eastAsia="Times New Roman" w:cs="Times New Roman"/>
          <w:sz w:val="20"/>
          <w:szCs w:val="20"/>
          <w:lang w:val="de-CH"/>
        </w:rPr>
      </w:pPr>
    </w:p>
    <w:p w14:paraId="19F911E6" w14:textId="77777777" w:rsidR="00133AFC" w:rsidRPr="00EE2FCC" w:rsidRDefault="00133AFC" w:rsidP="00EE2FCC">
      <w:pPr>
        <w:jc w:val="both"/>
        <w:rPr>
          <w:rFonts w:eastAsia="Times New Roman" w:cs="Times New Roman"/>
          <w:sz w:val="20"/>
          <w:szCs w:val="20"/>
          <w:lang w:val="de-CH"/>
        </w:rPr>
      </w:pPr>
    </w:p>
    <w:p w14:paraId="6CECCB5E" w14:textId="77777777" w:rsidR="00B34357" w:rsidRDefault="00B34357" w:rsidP="00936AF1">
      <w:pPr>
        <w:pBdr>
          <w:bottom w:val="single" w:sz="4" w:space="1" w:color="auto"/>
        </w:pBdr>
        <w:rPr>
          <w:lang w:val="de-CH"/>
        </w:rPr>
      </w:pPr>
    </w:p>
    <w:p w14:paraId="5342C085" w14:textId="77777777" w:rsidR="00D46D76" w:rsidRDefault="00D46D76" w:rsidP="00D46D76">
      <w:pPr>
        <w:pStyle w:val="berschrift1"/>
        <w:rPr>
          <w:lang w:val="de-CH"/>
        </w:rPr>
      </w:pPr>
      <w:r>
        <w:rPr>
          <w:lang w:val="de-CH"/>
        </w:rPr>
        <w:t>Literaturliste</w:t>
      </w:r>
    </w:p>
    <w:p w14:paraId="690680B1" w14:textId="6A920974" w:rsidR="00CA46BD" w:rsidRPr="00CA46BD" w:rsidRDefault="00031D9B" w:rsidP="00CA46BD">
      <w:pPr>
        <w:widowControl w:val="0"/>
        <w:autoSpaceDE w:val="0"/>
        <w:autoSpaceDN w:val="0"/>
        <w:adjustRightInd w:val="0"/>
        <w:spacing w:line="240" w:lineRule="auto"/>
        <w:ind w:left="640" w:hanging="640"/>
        <w:rPr>
          <w:rFonts w:ascii="Calibri" w:hAnsi="Calibri" w:cs="Calibri"/>
          <w:noProof/>
          <w:szCs w:val="24"/>
        </w:rPr>
      </w:pPr>
      <w:r>
        <w:rPr>
          <w:lang w:val="de-CH"/>
        </w:rPr>
        <w:fldChar w:fldCharType="begin" w:fldLock="1"/>
      </w:r>
      <w:r>
        <w:rPr>
          <w:lang w:val="de-CH"/>
        </w:rPr>
        <w:instrText xml:space="preserve">ADDIN Mendeley Bibliography CSL_BIBLIOGRAPHY </w:instrText>
      </w:r>
      <w:r>
        <w:rPr>
          <w:lang w:val="de-CH"/>
        </w:rPr>
        <w:fldChar w:fldCharType="separate"/>
      </w:r>
      <w:r w:rsidR="00CA46BD" w:rsidRPr="00CA46BD">
        <w:rPr>
          <w:rFonts w:ascii="Calibri" w:hAnsi="Calibri" w:cs="Calibri"/>
          <w:noProof/>
          <w:szCs w:val="24"/>
        </w:rPr>
        <w:t>1.</w:t>
      </w:r>
      <w:r w:rsidR="00CA46BD" w:rsidRPr="00CA46BD">
        <w:rPr>
          <w:rFonts w:ascii="Calibri" w:hAnsi="Calibri" w:cs="Calibri"/>
          <w:noProof/>
          <w:szCs w:val="24"/>
        </w:rPr>
        <w:tab/>
        <w:t xml:space="preserve">Allen, C. D. </w:t>
      </w:r>
      <w:r w:rsidR="00CA46BD" w:rsidRPr="00CA46BD">
        <w:rPr>
          <w:rFonts w:ascii="Calibri" w:hAnsi="Calibri" w:cs="Calibri"/>
          <w:i/>
          <w:iCs/>
          <w:noProof/>
          <w:szCs w:val="24"/>
        </w:rPr>
        <w:t>et al.</w:t>
      </w:r>
      <w:r w:rsidR="00CA46BD" w:rsidRPr="00CA46BD">
        <w:rPr>
          <w:rFonts w:ascii="Calibri" w:hAnsi="Calibri" w:cs="Calibri"/>
          <w:noProof/>
          <w:szCs w:val="24"/>
        </w:rPr>
        <w:t xml:space="preserve"> A global overview of drought and heat-induced tree mortality reveals emerging climate change risks for forests. </w:t>
      </w:r>
      <w:r w:rsidR="00CA46BD" w:rsidRPr="00CA46BD">
        <w:rPr>
          <w:rFonts w:ascii="Calibri" w:hAnsi="Calibri" w:cs="Calibri"/>
          <w:i/>
          <w:iCs/>
          <w:noProof/>
          <w:szCs w:val="24"/>
        </w:rPr>
        <w:t>For. Ecol. Manage.</w:t>
      </w:r>
      <w:r w:rsidR="00CA46BD" w:rsidRPr="00CA46BD">
        <w:rPr>
          <w:rFonts w:ascii="Calibri" w:hAnsi="Calibri" w:cs="Calibri"/>
          <w:noProof/>
          <w:szCs w:val="24"/>
        </w:rPr>
        <w:t xml:space="preserve"> </w:t>
      </w:r>
      <w:r w:rsidR="00CA46BD" w:rsidRPr="00CA46BD">
        <w:rPr>
          <w:rFonts w:ascii="Calibri" w:hAnsi="Calibri" w:cs="Calibri"/>
          <w:b/>
          <w:bCs/>
          <w:noProof/>
          <w:szCs w:val="24"/>
        </w:rPr>
        <w:t>259</w:t>
      </w:r>
      <w:r w:rsidR="00CA46BD" w:rsidRPr="00CA46BD">
        <w:rPr>
          <w:rFonts w:ascii="Calibri" w:hAnsi="Calibri" w:cs="Calibri"/>
          <w:noProof/>
          <w:szCs w:val="24"/>
        </w:rPr>
        <w:t>, 660–684 (2010).</w:t>
      </w:r>
    </w:p>
    <w:p w14:paraId="3983E3BD"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w:t>
      </w:r>
      <w:r w:rsidRPr="00CA46BD">
        <w:rPr>
          <w:rFonts w:ascii="Calibri" w:hAnsi="Calibri" w:cs="Calibri"/>
          <w:noProof/>
          <w:szCs w:val="24"/>
        </w:rPr>
        <w:tab/>
        <w:t xml:space="preserve">Usbeck, T. </w:t>
      </w:r>
      <w:r w:rsidRPr="00CA46BD">
        <w:rPr>
          <w:rFonts w:ascii="Calibri" w:hAnsi="Calibri" w:cs="Calibri"/>
          <w:i/>
          <w:iCs/>
          <w:noProof/>
          <w:szCs w:val="24"/>
        </w:rPr>
        <w:t>et al.</w:t>
      </w:r>
      <w:r w:rsidRPr="00CA46BD">
        <w:rPr>
          <w:rFonts w:ascii="Calibri" w:hAnsi="Calibri" w:cs="Calibri"/>
          <w:noProof/>
          <w:szCs w:val="24"/>
        </w:rPr>
        <w:t xml:space="preserve"> Increasing storm damage to forests in Switzerland from 1858 to 2007. </w:t>
      </w:r>
      <w:r w:rsidRPr="00CA46BD">
        <w:rPr>
          <w:rFonts w:ascii="Calibri" w:hAnsi="Calibri" w:cs="Calibri"/>
          <w:i/>
          <w:iCs/>
          <w:noProof/>
          <w:szCs w:val="24"/>
        </w:rPr>
        <w:t>Agric. For. Meteorol.</w:t>
      </w:r>
      <w:r w:rsidRPr="00CA46BD">
        <w:rPr>
          <w:rFonts w:ascii="Calibri" w:hAnsi="Calibri" w:cs="Calibri"/>
          <w:noProof/>
          <w:szCs w:val="24"/>
        </w:rPr>
        <w:t xml:space="preserve"> </w:t>
      </w:r>
      <w:r w:rsidRPr="00CA46BD">
        <w:rPr>
          <w:rFonts w:ascii="Calibri" w:hAnsi="Calibri" w:cs="Calibri"/>
          <w:b/>
          <w:bCs/>
          <w:noProof/>
          <w:szCs w:val="24"/>
        </w:rPr>
        <w:t>150</w:t>
      </w:r>
      <w:r w:rsidRPr="00CA46BD">
        <w:rPr>
          <w:rFonts w:ascii="Calibri" w:hAnsi="Calibri" w:cs="Calibri"/>
          <w:noProof/>
          <w:szCs w:val="24"/>
        </w:rPr>
        <w:t>, 47–55 (2010).</w:t>
      </w:r>
    </w:p>
    <w:p w14:paraId="13C4908C"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3.</w:t>
      </w:r>
      <w:r w:rsidRPr="00CA46BD">
        <w:rPr>
          <w:rFonts w:ascii="Calibri" w:hAnsi="Calibri" w:cs="Calibri"/>
          <w:noProof/>
          <w:szCs w:val="24"/>
        </w:rPr>
        <w:tab/>
        <w:t xml:space="preserve">Stevens-Rumann, C. S. </w:t>
      </w:r>
      <w:r w:rsidRPr="00CA46BD">
        <w:rPr>
          <w:rFonts w:ascii="Calibri" w:hAnsi="Calibri" w:cs="Calibri"/>
          <w:i/>
          <w:iCs/>
          <w:noProof/>
          <w:szCs w:val="24"/>
        </w:rPr>
        <w:t>et al.</w:t>
      </w:r>
      <w:r w:rsidRPr="00CA46BD">
        <w:rPr>
          <w:rFonts w:ascii="Calibri" w:hAnsi="Calibri" w:cs="Calibri"/>
          <w:noProof/>
          <w:szCs w:val="24"/>
        </w:rPr>
        <w:t xml:space="preserve"> Evidence for declining forest resilience to wildfires under climate change. </w:t>
      </w:r>
      <w:r w:rsidRPr="00CA46BD">
        <w:rPr>
          <w:rFonts w:ascii="Calibri" w:hAnsi="Calibri" w:cs="Calibri"/>
          <w:i/>
          <w:iCs/>
          <w:noProof/>
          <w:szCs w:val="24"/>
        </w:rPr>
        <w:t>Ecology Letters</w:t>
      </w:r>
      <w:r w:rsidRPr="00CA46BD">
        <w:rPr>
          <w:rFonts w:ascii="Calibri" w:hAnsi="Calibri" w:cs="Calibri"/>
          <w:noProof/>
          <w:szCs w:val="24"/>
        </w:rPr>
        <w:t xml:space="preserve"> vol. 21 243–252 (2019).</w:t>
      </w:r>
    </w:p>
    <w:p w14:paraId="76E9F7E3"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4.</w:t>
      </w:r>
      <w:r w:rsidRPr="00CA46BD">
        <w:rPr>
          <w:rFonts w:ascii="Calibri" w:hAnsi="Calibri" w:cs="Calibri"/>
          <w:noProof/>
          <w:szCs w:val="24"/>
        </w:rPr>
        <w:tab/>
        <w:t xml:space="preserve">Schwalm, C. R. </w:t>
      </w:r>
      <w:r w:rsidRPr="00CA46BD">
        <w:rPr>
          <w:rFonts w:ascii="Calibri" w:hAnsi="Calibri" w:cs="Calibri"/>
          <w:i/>
          <w:iCs/>
          <w:noProof/>
          <w:szCs w:val="24"/>
        </w:rPr>
        <w:t>et al.</w:t>
      </w:r>
      <w:r w:rsidRPr="00CA46BD">
        <w:rPr>
          <w:rFonts w:ascii="Calibri" w:hAnsi="Calibri" w:cs="Calibri"/>
          <w:noProof/>
          <w:szCs w:val="24"/>
        </w:rPr>
        <w:t xml:space="preserve"> Global patterns of drought recovery. </w:t>
      </w:r>
      <w:r w:rsidRPr="00CA46BD">
        <w:rPr>
          <w:rFonts w:ascii="Calibri" w:hAnsi="Calibri" w:cs="Calibri"/>
          <w:i/>
          <w:iCs/>
          <w:noProof/>
          <w:szCs w:val="24"/>
        </w:rPr>
        <w:t>Nature</w:t>
      </w:r>
      <w:r w:rsidRPr="00CA46BD">
        <w:rPr>
          <w:rFonts w:ascii="Calibri" w:hAnsi="Calibri" w:cs="Calibri"/>
          <w:noProof/>
          <w:szCs w:val="24"/>
        </w:rPr>
        <w:t xml:space="preserve"> </w:t>
      </w:r>
      <w:r w:rsidRPr="00CA46BD">
        <w:rPr>
          <w:rFonts w:ascii="Calibri" w:hAnsi="Calibri" w:cs="Calibri"/>
          <w:b/>
          <w:bCs/>
          <w:noProof/>
          <w:szCs w:val="24"/>
        </w:rPr>
        <w:t>548</w:t>
      </w:r>
      <w:r w:rsidRPr="00CA46BD">
        <w:rPr>
          <w:rFonts w:ascii="Calibri" w:hAnsi="Calibri" w:cs="Calibri"/>
          <w:noProof/>
          <w:szCs w:val="24"/>
        </w:rPr>
        <w:t>, 202–205 (2017).</w:t>
      </w:r>
    </w:p>
    <w:p w14:paraId="08D7C60A"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5.</w:t>
      </w:r>
      <w:r w:rsidRPr="00CA46BD">
        <w:rPr>
          <w:rFonts w:ascii="Calibri" w:hAnsi="Calibri" w:cs="Calibri"/>
          <w:noProof/>
          <w:szCs w:val="24"/>
        </w:rPr>
        <w:tab/>
        <w:t xml:space="preserve">Reyer, C. P. O. </w:t>
      </w:r>
      <w:r w:rsidRPr="00CA46BD">
        <w:rPr>
          <w:rFonts w:ascii="Calibri" w:hAnsi="Calibri" w:cs="Calibri"/>
          <w:i/>
          <w:iCs/>
          <w:noProof/>
          <w:szCs w:val="24"/>
        </w:rPr>
        <w:t>et al.</w:t>
      </w:r>
      <w:r w:rsidRPr="00CA46BD">
        <w:rPr>
          <w:rFonts w:ascii="Calibri" w:hAnsi="Calibri" w:cs="Calibri"/>
          <w:noProof/>
          <w:szCs w:val="24"/>
        </w:rPr>
        <w:t xml:space="preserve"> Forest resilience and tipping points at different spatio-temporal scales: Approaches and challenges. </w:t>
      </w:r>
      <w:r w:rsidRPr="00CA46BD">
        <w:rPr>
          <w:rFonts w:ascii="Calibri" w:hAnsi="Calibri" w:cs="Calibri"/>
          <w:i/>
          <w:iCs/>
          <w:noProof/>
          <w:szCs w:val="24"/>
        </w:rPr>
        <w:t>J. Ecol.</w:t>
      </w:r>
      <w:r w:rsidRPr="00CA46BD">
        <w:rPr>
          <w:rFonts w:ascii="Calibri" w:hAnsi="Calibri" w:cs="Calibri"/>
          <w:noProof/>
          <w:szCs w:val="24"/>
        </w:rPr>
        <w:t xml:space="preserve"> </w:t>
      </w:r>
      <w:r w:rsidRPr="00CA46BD">
        <w:rPr>
          <w:rFonts w:ascii="Calibri" w:hAnsi="Calibri" w:cs="Calibri"/>
          <w:b/>
          <w:bCs/>
          <w:noProof/>
          <w:szCs w:val="24"/>
        </w:rPr>
        <w:t>103</w:t>
      </w:r>
      <w:r w:rsidRPr="00CA46BD">
        <w:rPr>
          <w:rFonts w:ascii="Calibri" w:hAnsi="Calibri" w:cs="Calibri"/>
          <w:noProof/>
          <w:szCs w:val="24"/>
        </w:rPr>
        <w:t>, 5–15 (2015).</w:t>
      </w:r>
    </w:p>
    <w:p w14:paraId="58D529CD"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6.</w:t>
      </w:r>
      <w:r w:rsidRPr="00CA46BD">
        <w:rPr>
          <w:rFonts w:ascii="Calibri" w:hAnsi="Calibri" w:cs="Calibri"/>
          <w:noProof/>
          <w:szCs w:val="24"/>
        </w:rPr>
        <w:tab/>
        <w:t xml:space="preserve">Attiwill, P. M. The disturbance of forest ecosystems: the ecological basis for conservative management. </w:t>
      </w:r>
      <w:r w:rsidRPr="00CA46BD">
        <w:rPr>
          <w:rFonts w:ascii="Calibri" w:hAnsi="Calibri" w:cs="Calibri"/>
          <w:i/>
          <w:iCs/>
          <w:noProof/>
          <w:szCs w:val="24"/>
        </w:rPr>
        <w:t>For. Ecol. Manage.</w:t>
      </w:r>
      <w:r w:rsidRPr="00CA46BD">
        <w:rPr>
          <w:rFonts w:ascii="Calibri" w:hAnsi="Calibri" w:cs="Calibri"/>
          <w:noProof/>
          <w:szCs w:val="24"/>
        </w:rPr>
        <w:t xml:space="preserve"> </w:t>
      </w:r>
      <w:r w:rsidRPr="00CA46BD">
        <w:rPr>
          <w:rFonts w:ascii="Calibri" w:hAnsi="Calibri" w:cs="Calibri"/>
          <w:b/>
          <w:bCs/>
          <w:noProof/>
          <w:szCs w:val="24"/>
        </w:rPr>
        <w:t>63</w:t>
      </w:r>
      <w:r w:rsidRPr="00CA46BD">
        <w:rPr>
          <w:rFonts w:ascii="Calibri" w:hAnsi="Calibri" w:cs="Calibri"/>
          <w:noProof/>
          <w:szCs w:val="24"/>
        </w:rPr>
        <w:t>, 247–300 (1994).</w:t>
      </w:r>
    </w:p>
    <w:p w14:paraId="04B171D9"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7.</w:t>
      </w:r>
      <w:r w:rsidRPr="00CA46BD">
        <w:rPr>
          <w:rFonts w:ascii="Calibri" w:hAnsi="Calibri" w:cs="Calibri"/>
          <w:noProof/>
          <w:szCs w:val="24"/>
        </w:rPr>
        <w:tab/>
        <w:t xml:space="preserve">Cole, L. E. S., Bhagwat, S. A. &amp; Willis, K. J. ARTICLE Recovery and resilience of tropical forests after disturbance. </w:t>
      </w:r>
      <w:r w:rsidRPr="00CA46BD">
        <w:rPr>
          <w:rFonts w:ascii="Calibri" w:hAnsi="Calibri" w:cs="Calibri"/>
          <w:i/>
          <w:iCs/>
          <w:noProof/>
          <w:szCs w:val="24"/>
        </w:rPr>
        <w:t>Nat. Commun.</w:t>
      </w:r>
      <w:r w:rsidRPr="00CA46BD">
        <w:rPr>
          <w:rFonts w:ascii="Calibri" w:hAnsi="Calibri" w:cs="Calibri"/>
          <w:noProof/>
          <w:szCs w:val="24"/>
        </w:rPr>
        <w:t xml:space="preserve"> (2014) doi:10.1038/ncomms4906.</w:t>
      </w:r>
    </w:p>
    <w:p w14:paraId="2669332D"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8.</w:t>
      </w:r>
      <w:r w:rsidRPr="00CA46BD">
        <w:rPr>
          <w:rFonts w:ascii="Calibri" w:hAnsi="Calibri" w:cs="Calibri"/>
          <w:noProof/>
          <w:szCs w:val="24"/>
        </w:rPr>
        <w:tab/>
        <w:t xml:space="preserve">Thompson, I., Mackey, B., McNulty, S., Mosseler, A. &amp; Secretariat of the convention on the biological diversity. </w:t>
      </w:r>
      <w:r w:rsidRPr="00CA46BD">
        <w:rPr>
          <w:rFonts w:ascii="Calibri" w:hAnsi="Calibri" w:cs="Calibri"/>
          <w:i/>
          <w:iCs/>
          <w:noProof/>
          <w:szCs w:val="24"/>
        </w:rPr>
        <w:t>Forest resilience, biodiversity, and climate change : a synthesis of the biodiversity, resilience, stabiblity relationship in forest ecosystems</w:t>
      </w:r>
      <w:r w:rsidRPr="00CA46BD">
        <w:rPr>
          <w:rFonts w:ascii="Calibri" w:hAnsi="Calibri" w:cs="Calibri"/>
          <w:noProof/>
          <w:szCs w:val="24"/>
        </w:rPr>
        <w:t>.</w:t>
      </w:r>
    </w:p>
    <w:p w14:paraId="2CDD18AB"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9.</w:t>
      </w:r>
      <w:r w:rsidRPr="00CA46BD">
        <w:rPr>
          <w:rFonts w:ascii="Calibri" w:hAnsi="Calibri" w:cs="Calibri"/>
          <w:noProof/>
          <w:szCs w:val="24"/>
        </w:rPr>
        <w:tab/>
        <w:t xml:space="preserve">Sánchez-Pinillos, M. </w:t>
      </w:r>
      <w:r w:rsidRPr="00CA46BD">
        <w:rPr>
          <w:rFonts w:ascii="Calibri" w:hAnsi="Calibri" w:cs="Calibri"/>
          <w:i/>
          <w:iCs/>
          <w:noProof/>
          <w:szCs w:val="24"/>
        </w:rPr>
        <w:t>et al.</w:t>
      </w:r>
      <w:r w:rsidRPr="00CA46BD">
        <w:rPr>
          <w:rFonts w:ascii="Calibri" w:hAnsi="Calibri" w:cs="Calibri"/>
          <w:noProof/>
          <w:szCs w:val="24"/>
        </w:rPr>
        <w:t xml:space="preserve"> Resistance, Resilience or Change: Post-disturbance Dynamics of Boreal Forests After Insect Outbreaks. </w:t>
      </w:r>
      <w:r w:rsidRPr="00CA46BD">
        <w:rPr>
          <w:rFonts w:ascii="Calibri" w:hAnsi="Calibri" w:cs="Calibri"/>
          <w:i/>
          <w:iCs/>
          <w:noProof/>
          <w:szCs w:val="24"/>
        </w:rPr>
        <w:t>Ecosystems</w:t>
      </w:r>
      <w:r w:rsidRPr="00CA46BD">
        <w:rPr>
          <w:rFonts w:ascii="Calibri" w:hAnsi="Calibri" w:cs="Calibri"/>
          <w:noProof/>
          <w:szCs w:val="24"/>
        </w:rPr>
        <w:t xml:space="preserve"> </w:t>
      </w:r>
      <w:r w:rsidRPr="00CA46BD">
        <w:rPr>
          <w:rFonts w:ascii="Calibri" w:hAnsi="Calibri" w:cs="Calibri"/>
          <w:b/>
          <w:bCs/>
          <w:noProof/>
          <w:szCs w:val="24"/>
        </w:rPr>
        <w:t>22</w:t>
      </w:r>
      <w:r w:rsidRPr="00CA46BD">
        <w:rPr>
          <w:rFonts w:ascii="Calibri" w:hAnsi="Calibri" w:cs="Calibri"/>
          <w:noProof/>
          <w:szCs w:val="24"/>
        </w:rPr>
        <w:t>, 1886–1901 (2019).</w:t>
      </w:r>
    </w:p>
    <w:p w14:paraId="3908315D"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10.</w:t>
      </w:r>
      <w:r w:rsidRPr="00CA46BD">
        <w:rPr>
          <w:rFonts w:ascii="Calibri" w:hAnsi="Calibri" w:cs="Calibri"/>
          <w:noProof/>
          <w:szCs w:val="24"/>
        </w:rPr>
        <w:tab/>
        <w:t xml:space="preserve">Anderegg, W. R. L. </w:t>
      </w:r>
      <w:r w:rsidRPr="00CA46BD">
        <w:rPr>
          <w:rFonts w:ascii="Calibri" w:hAnsi="Calibri" w:cs="Calibri"/>
          <w:i/>
          <w:iCs/>
          <w:noProof/>
          <w:szCs w:val="24"/>
        </w:rPr>
        <w:t>et al.</w:t>
      </w:r>
      <w:r w:rsidRPr="00CA46BD">
        <w:rPr>
          <w:rFonts w:ascii="Calibri" w:hAnsi="Calibri" w:cs="Calibri"/>
          <w:noProof/>
          <w:szCs w:val="24"/>
        </w:rPr>
        <w:t xml:space="preserve"> Hydraulic diversity of forests regulates ecosystem resilience during drought. </w:t>
      </w:r>
      <w:r w:rsidRPr="00CA46BD">
        <w:rPr>
          <w:rFonts w:ascii="Calibri" w:hAnsi="Calibri" w:cs="Calibri"/>
          <w:i/>
          <w:iCs/>
          <w:noProof/>
          <w:szCs w:val="24"/>
        </w:rPr>
        <w:t>Nature</w:t>
      </w:r>
      <w:r w:rsidRPr="00CA46BD">
        <w:rPr>
          <w:rFonts w:ascii="Calibri" w:hAnsi="Calibri" w:cs="Calibri"/>
          <w:noProof/>
          <w:szCs w:val="24"/>
        </w:rPr>
        <w:t xml:space="preserve"> vol. 561 538–541 (2018).</w:t>
      </w:r>
    </w:p>
    <w:p w14:paraId="0A5A7D14"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11.</w:t>
      </w:r>
      <w:r w:rsidRPr="00CA46BD">
        <w:rPr>
          <w:rFonts w:ascii="Calibri" w:hAnsi="Calibri" w:cs="Calibri"/>
          <w:noProof/>
          <w:szCs w:val="24"/>
        </w:rPr>
        <w:tab/>
        <w:t xml:space="preserve">Barlow, J. &amp; Peres, C. A. Fire-mediated dieback and compositional cascade in an Amazonian forest. in </w:t>
      </w:r>
      <w:r w:rsidRPr="00CA46BD">
        <w:rPr>
          <w:rFonts w:ascii="Calibri" w:hAnsi="Calibri" w:cs="Calibri"/>
          <w:i/>
          <w:iCs/>
          <w:noProof/>
          <w:szCs w:val="24"/>
        </w:rPr>
        <w:t>Philosophical Transactions of the Royal Society B: Biological Sciences</w:t>
      </w:r>
      <w:r w:rsidRPr="00CA46BD">
        <w:rPr>
          <w:rFonts w:ascii="Calibri" w:hAnsi="Calibri" w:cs="Calibri"/>
          <w:noProof/>
          <w:szCs w:val="24"/>
        </w:rPr>
        <w:t xml:space="preserve"> vol. 363 1787–1794 (Royal Society, 2008).</w:t>
      </w:r>
    </w:p>
    <w:p w14:paraId="4C7D15E6"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12.</w:t>
      </w:r>
      <w:r w:rsidRPr="00CA46BD">
        <w:rPr>
          <w:rFonts w:ascii="Calibri" w:hAnsi="Calibri" w:cs="Calibri"/>
          <w:noProof/>
          <w:szCs w:val="24"/>
        </w:rPr>
        <w:tab/>
        <w:t xml:space="preserve">Lässig, R. &amp; Motschalow, S. A. Vielfältige Strukturen nach Windwurf in Naturwäldern. </w:t>
      </w:r>
      <w:r w:rsidRPr="00CA46BD">
        <w:rPr>
          <w:rFonts w:ascii="Calibri" w:hAnsi="Calibri" w:cs="Calibri"/>
          <w:i/>
          <w:iCs/>
          <w:noProof/>
          <w:szCs w:val="24"/>
        </w:rPr>
        <w:t>Wald und Holz</w:t>
      </w:r>
      <w:r w:rsidRPr="00CA46BD">
        <w:rPr>
          <w:rFonts w:ascii="Calibri" w:hAnsi="Calibri" w:cs="Calibri"/>
          <w:noProof/>
          <w:szCs w:val="24"/>
        </w:rPr>
        <w:t xml:space="preserve"> </w:t>
      </w:r>
      <w:r w:rsidRPr="00CA46BD">
        <w:rPr>
          <w:rFonts w:ascii="Calibri" w:hAnsi="Calibri" w:cs="Calibri"/>
          <w:b/>
          <w:bCs/>
          <w:noProof/>
          <w:szCs w:val="24"/>
        </w:rPr>
        <w:t>12</w:t>
      </w:r>
      <w:r w:rsidRPr="00CA46BD">
        <w:rPr>
          <w:rFonts w:ascii="Calibri" w:hAnsi="Calibri" w:cs="Calibri"/>
          <w:noProof/>
          <w:szCs w:val="24"/>
        </w:rPr>
        <w:t>, 39–43 (2000).</w:t>
      </w:r>
    </w:p>
    <w:p w14:paraId="75BDE3C8"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13.</w:t>
      </w:r>
      <w:r w:rsidRPr="00CA46BD">
        <w:rPr>
          <w:rFonts w:ascii="Calibri" w:hAnsi="Calibri" w:cs="Calibri"/>
          <w:noProof/>
          <w:szCs w:val="24"/>
        </w:rPr>
        <w:tab/>
        <w:t xml:space="preserve">Iglesias, V. &amp; Whitlock, C. If the trees burn, is the forest lost? Past dynamics in temperate forests help inform management strategies. </w:t>
      </w:r>
      <w:r w:rsidRPr="00CA46BD">
        <w:rPr>
          <w:rFonts w:ascii="Calibri" w:hAnsi="Calibri" w:cs="Calibri"/>
          <w:i/>
          <w:iCs/>
          <w:noProof/>
          <w:szCs w:val="24"/>
        </w:rPr>
        <w:t>Philos. Trans. R. Soc. B Biol. Sci.</w:t>
      </w:r>
      <w:r w:rsidRPr="00CA46BD">
        <w:rPr>
          <w:rFonts w:ascii="Calibri" w:hAnsi="Calibri" w:cs="Calibri"/>
          <w:noProof/>
          <w:szCs w:val="24"/>
        </w:rPr>
        <w:t xml:space="preserve"> </w:t>
      </w:r>
      <w:r w:rsidRPr="00CA46BD">
        <w:rPr>
          <w:rFonts w:ascii="Calibri" w:hAnsi="Calibri" w:cs="Calibri"/>
          <w:b/>
          <w:bCs/>
          <w:noProof/>
          <w:szCs w:val="24"/>
        </w:rPr>
        <w:t>375</w:t>
      </w:r>
      <w:r w:rsidRPr="00CA46BD">
        <w:rPr>
          <w:rFonts w:ascii="Calibri" w:hAnsi="Calibri" w:cs="Calibri"/>
          <w:noProof/>
          <w:szCs w:val="24"/>
        </w:rPr>
        <w:t>, (2020).</w:t>
      </w:r>
    </w:p>
    <w:p w14:paraId="10D85796"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14.</w:t>
      </w:r>
      <w:r w:rsidRPr="00CA46BD">
        <w:rPr>
          <w:rFonts w:ascii="Calibri" w:hAnsi="Calibri" w:cs="Calibri"/>
          <w:noProof/>
          <w:szCs w:val="24"/>
        </w:rPr>
        <w:tab/>
        <w:t xml:space="preserve">Noss, R. F. Beyond kyoto: Forest management in a time of rapid climate change. </w:t>
      </w:r>
      <w:r w:rsidRPr="00CA46BD">
        <w:rPr>
          <w:rFonts w:ascii="Calibri" w:hAnsi="Calibri" w:cs="Calibri"/>
          <w:i/>
          <w:iCs/>
          <w:noProof/>
          <w:szCs w:val="24"/>
        </w:rPr>
        <w:t>Conservation Biology</w:t>
      </w:r>
      <w:r w:rsidRPr="00CA46BD">
        <w:rPr>
          <w:rFonts w:ascii="Calibri" w:hAnsi="Calibri" w:cs="Calibri"/>
          <w:noProof/>
          <w:szCs w:val="24"/>
        </w:rPr>
        <w:t xml:space="preserve"> (2001) doi:10.1046/j.1523-1739.2001.015003578.x.</w:t>
      </w:r>
    </w:p>
    <w:p w14:paraId="56A4C692"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15.</w:t>
      </w:r>
      <w:r w:rsidRPr="00CA46BD">
        <w:rPr>
          <w:rFonts w:ascii="Calibri" w:hAnsi="Calibri" w:cs="Calibri"/>
          <w:noProof/>
          <w:szCs w:val="24"/>
        </w:rPr>
        <w:tab/>
        <w:t xml:space="preserve">Kalame, F. B., Nkem, J., Idinoba, M. &amp; Kanninen, M. Matching national forest policies and management practices for climate change adaptation in Burkina Faso and Ghana. </w:t>
      </w:r>
      <w:r w:rsidRPr="00CA46BD">
        <w:rPr>
          <w:rFonts w:ascii="Calibri" w:hAnsi="Calibri" w:cs="Calibri"/>
          <w:i/>
          <w:iCs/>
          <w:noProof/>
          <w:szCs w:val="24"/>
        </w:rPr>
        <w:t>Mitig. Adapt. Strateg. Glob. Chang.</w:t>
      </w:r>
      <w:r w:rsidRPr="00CA46BD">
        <w:rPr>
          <w:rFonts w:ascii="Calibri" w:hAnsi="Calibri" w:cs="Calibri"/>
          <w:noProof/>
          <w:szCs w:val="24"/>
        </w:rPr>
        <w:t xml:space="preserve"> (2009) doi:10.1007/s11027-008-9155-4.</w:t>
      </w:r>
    </w:p>
    <w:p w14:paraId="0A62A7E8"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16.</w:t>
      </w:r>
      <w:r w:rsidRPr="00CA46BD">
        <w:rPr>
          <w:rFonts w:ascii="Calibri" w:hAnsi="Calibri" w:cs="Calibri"/>
          <w:noProof/>
          <w:szCs w:val="24"/>
        </w:rPr>
        <w:tab/>
        <w:t xml:space="preserve">Visseren-Hamakers, I. J. &amp; Glasbergen, P. Partnerships in forest governance. </w:t>
      </w:r>
      <w:r w:rsidRPr="00CA46BD">
        <w:rPr>
          <w:rFonts w:ascii="Calibri" w:hAnsi="Calibri" w:cs="Calibri"/>
          <w:i/>
          <w:iCs/>
          <w:noProof/>
          <w:szCs w:val="24"/>
        </w:rPr>
        <w:t>Glob. Environ. Chang.</w:t>
      </w:r>
      <w:r w:rsidRPr="00CA46BD">
        <w:rPr>
          <w:rFonts w:ascii="Calibri" w:hAnsi="Calibri" w:cs="Calibri"/>
          <w:noProof/>
          <w:szCs w:val="24"/>
        </w:rPr>
        <w:t xml:space="preserve"> (2007) doi:10.1016/j.gloenvcha.2006.11.003.</w:t>
      </w:r>
    </w:p>
    <w:p w14:paraId="05D03318"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17.</w:t>
      </w:r>
      <w:r w:rsidRPr="00CA46BD">
        <w:rPr>
          <w:rFonts w:ascii="Calibri" w:hAnsi="Calibri" w:cs="Calibri"/>
          <w:noProof/>
          <w:szCs w:val="24"/>
        </w:rPr>
        <w:tab/>
        <w:t xml:space="preserve">Seidl, R., Rammer, W. &amp; Spies, T. A. Disturbance legacies increase the resilience of forest ecosystem structure, composition, and functioning. </w:t>
      </w:r>
      <w:r w:rsidRPr="00CA46BD">
        <w:rPr>
          <w:rFonts w:ascii="Calibri" w:hAnsi="Calibri" w:cs="Calibri"/>
          <w:i/>
          <w:iCs/>
          <w:noProof/>
          <w:szCs w:val="24"/>
        </w:rPr>
        <w:t>Ecol. Appl.</w:t>
      </w:r>
      <w:r w:rsidRPr="00CA46BD">
        <w:rPr>
          <w:rFonts w:ascii="Calibri" w:hAnsi="Calibri" w:cs="Calibri"/>
          <w:noProof/>
          <w:szCs w:val="24"/>
        </w:rPr>
        <w:t xml:space="preserve"> </w:t>
      </w:r>
      <w:r w:rsidRPr="00CA46BD">
        <w:rPr>
          <w:rFonts w:ascii="Calibri" w:hAnsi="Calibri" w:cs="Calibri"/>
          <w:b/>
          <w:bCs/>
          <w:noProof/>
          <w:szCs w:val="24"/>
        </w:rPr>
        <w:t>24</w:t>
      </w:r>
      <w:r w:rsidRPr="00CA46BD">
        <w:rPr>
          <w:rFonts w:ascii="Calibri" w:hAnsi="Calibri" w:cs="Calibri"/>
          <w:noProof/>
          <w:szCs w:val="24"/>
        </w:rPr>
        <w:t>, 2063–2077 (2014).</w:t>
      </w:r>
    </w:p>
    <w:p w14:paraId="1F44E1F5"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18.</w:t>
      </w:r>
      <w:r w:rsidRPr="00CA46BD">
        <w:rPr>
          <w:rFonts w:ascii="Calibri" w:hAnsi="Calibri" w:cs="Calibri"/>
          <w:noProof/>
          <w:szCs w:val="24"/>
        </w:rPr>
        <w:tab/>
        <w:t xml:space="preserve">Schaberg, P. G., DeHayes, D. H., Hawley, G. J. &amp; Nijensohn, S. E. Anthropogenic alterations of genetic diversity within tree populations: Implications for forest ecosystem resilience. </w:t>
      </w:r>
      <w:r w:rsidRPr="00CA46BD">
        <w:rPr>
          <w:rFonts w:ascii="Calibri" w:hAnsi="Calibri" w:cs="Calibri"/>
          <w:i/>
          <w:iCs/>
          <w:noProof/>
          <w:szCs w:val="24"/>
        </w:rPr>
        <w:t>Forest Ecology and Management</w:t>
      </w:r>
      <w:r w:rsidRPr="00CA46BD">
        <w:rPr>
          <w:rFonts w:ascii="Calibri" w:hAnsi="Calibri" w:cs="Calibri"/>
          <w:noProof/>
          <w:szCs w:val="24"/>
        </w:rPr>
        <w:t xml:space="preserve"> (2008) doi:10.1016/j.foreco.2008.06.038.</w:t>
      </w:r>
    </w:p>
    <w:p w14:paraId="309D3D5C"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19.</w:t>
      </w:r>
      <w:r w:rsidRPr="00CA46BD">
        <w:rPr>
          <w:rFonts w:ascii="Calibri" w:hAnsi="Calibri" w:cs="Calibri"/>
          <w:noProof/>
          <w:szCs w:val="24"/>
        </w:rPr>
        <w:tab/>
        <w:t xml:space="preserve">Newton, A. C. &amp; Cantarello, E. Restoration of forest resilience: An achievable goal? </w:t>
      </w:r>
      <w:r w:rsidRPr="00CA46BD">
        <w:rPr>
          <w:rFonts w:ascii="Calibri" w:hAnsi="Calibri" w:cs="Calibri"/>
          <w:i/>
          <w:iCs/>
          <w:noProof/>
          <w:szCs w:val="24"/>
        </w:rPr>
        <w:t>New For.</w:t>
      </w:r>
      <w:r w:rsidRPr="00CA46BD">
        <w:rPr>
          <w:rFonts w:ascii="Calibri" w:hAnsi="Calibri" w:cs="Calibri"/>
          <w:noProof/>
          <w:szCs w:val="24"/>
        </w:rPr>
        <w:t xml:space="preserve"> </w:t>
      </w:r>
      <w:r w:rsidRPr="00CA46BD">
        <w:rPr>
          <w:rFonts w:ascii="Calibri" w:hAnsi="Calibri" w:cs="Calibri"/>
          <w:b/>
          <w:bCs/>
          <w:noProof/>
          <w:szCs w:val="24"/>
        </w:rPr>
        <w:t>46</w:t>
      </w:r>
      <w:r w:rsidRPr="00CA46BD">
        <w:rPr>
          <w:rFonts w:ascii="Calibri" w:hAnsi="Calibri" w:cs="Calibri"/>
          <w:noProof/>
          <w:szCs w:val="24"/>
        </w:rPr>
        <w:t>, 645–668 (2015).</w:t>
      </w:r>
    </w:p>
    <w:p w14:paraId="1B47C598"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20.</w:t>
      </w:r>
      <w:r w:rsidRPr="00CA46BD">
        <w:rPr>
          <w:rFonts w:ascii="Calibri" w:hAnsi="Calibri" w:cs="Calibri"/>
          <w:noProof/>
          <w:szCs w:val="24"/>
        </w:rPr>
        <w:tab/>
        <w:t xml:space="preserve">Spittlehouse, D. L. &amp; Stewart, R. B. Adaptation to climate change in forest management. </w:t>
      </w:r>
      <w:r w:rsidRPr="00CA46BD">
        <w:rPr>
          <w:rFonts w:ascii="Calibri" w:hAnsi="Calibri" w:cs="Calibri"/>
          <w:i/>
          <w:iCs/>
          <w:noProof/>
          <w:szCs w:val="24"/>
        </w:rPr>
        <w:t>BC J. Ecosyst. Manag.</w:t>
      </w:r>
      <w:r w:rsidRPr="00CA46BD">
        <w:rPr>
          <w:rFonts w:ascii="Calibri" w:hAnsi="Calibri" w:cs="Calibri"/>
          <w:noProof/>
          <w:szCs w:val="24"/>
        </w:rPr>
        <w:t xml:space="preserve"> </w:t>
      </w:r>
      <w:r w:rsidRPr="00CA46BD">
        <w:rPr>
          <w:rFonts w:ascii="Calibri" w:hAnsi="Calibri" w:cs="Calibri"/>
          <w:b/>
          <w:bCs/>
          <w:noProof/>
          <w:szCs w:val="24"/>
        </w:rPr>
        <w:t>18</w:t>
      </w:r>
      <w:r w:rsidRPr="00CA46BD">
        <w:rPr>
          <w:rFonts w:ascii="Calibri" w:hAnsi="Calibri" w:cs="Calibri"/>
          <w:noProof/>
          <w:szCs w:val="24"/>
        </w:rPr>
        <w:t>, 49–62 (2018).</w:t>
      </w:r>
    </w:p>
    <w:p w14:paraId="2B742386"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21.</w:t>
      </w:r>
      <w:r w:rsidRPr="00CA46BD">
        <w:rPr>
          <w:rFonts w:ascii="Calibri" w:hAnsi="Calibri" w:cs="Calibri"/>
          <w:noProof/>
          <w:szCs w:val="24"/>
        </w:rPr>
        <w:tab/>
        <w:t xml:space="preserve">Álvarez-Yépiz, J. C. Restoration ecology in the Anthropocene: learning from responses of tropical forests to extreme disturbance events. </w:t>
      </w:r>
      <w:r w:rsidRPr="00CA46BD">
        <w:rPr>
          <w:rFonts w:ascii="Calibri" w:hAnsi="Calibri" w:cs="Calibri"/>
          <w:i/>
          <w:iCs/>
          <w:noProof/>
          <w:szCs w:val="24"/>
        </w:rPr>
        <w:t>Restor. Ecol.</w:t>
      </w:r>
      <w:r w:rsidRPr="00CA46BD">
        <w:rPr>
          <w:rFonts w:ascii="Calibri" w:hAnsi="Calibri" w:cs="Calibri"/>
          <w:noProof/>
          <w:szCs w:val="24"/>
        </w:rPr>
        <w:t xml:space="preserve"> </w:t>
      </w:r>
      <w:r w:rsidRPr="00CA46BD">
        <w:rPr>
          <w:rFonts w:ascii="Calibri" w:hAnsi="Calibri" w:cs="Calibri"/>
          <w:b/>
          <w:bCs/>
          <w:noProof/>
          <w:szCs w:val="24"/>
        </w:rPr>
        <w:t>28</w:t>
      </w:r>
      <w:r w:rsidRPr="00CA46BD">
        <w:rPr>
          <w:rFonts w:ascii="Calibri" w:hAnsi="Calibri" w:cs="Calibri"/>
          <w:noProof/>
          <w:szCs w:val="24"/>
        </w:rPr>
        <w:t>, 271–276 (2020).</w:t>
      </w:r>
    </w:p>
    <w:p w14:paraId="21839436"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22.</w:t>
      </w:r>
      <w:r w:rsidRPr="00CA46BD">
        <w:rPr>
          <w:rFonts w:ascii="Calibri" w:hAnsi="Calibri" w:cs="Calibri"/>
          <w:noProof/>
          <w:szCs w:val="24"/>
        </w:rPr>
        <w:tab/>
        <w:t xml:space="preserve">Reyer, C. P. O., Rammig, A., Brouwers, N. &amp; Langerwisch, F. Forest resilience, tipping points and global change processes. </w:t>
      </w:r>
      <w:r w:rsidRPr="00CA46BD">
        <w:rPr>
          <w:rFonts w:ascii="Calibri" w:hAnsi="Calibri" w:cs="Calibri"/>
          <w:i/>
          <w:iCs/>
          <w:noProof/>
          <w:szCs w:val="24"/>
        </w:rPr>
        <w:t>J. Ecol.</w:t>
      </w:r>
      <w:r w:rsidRPr="00CA46BD">
        <w:rPr>
          <w:rFonts w:ascii="Calibri" w:hAnsi="Calibri" w:cs="Calibri"/>
          <w:noProof/>
          <w:szCs w:val="24"/>
        </w:rPr>
        <w:t xml:space="preserve"> </w:t>
      </w:r>
      <w:r w:rsidRPr="00CA46BD">
        <w:rPr>
          <w:rFonts w:ascii="Calibri" w:hAnsi="Calibri" w:cs="Calibri"/>
          <w:b/>
          <w:bCs/>
          <w:noProof/>
          <w:szCs w:val="24"/>
        </w:rPr>
        <w:t>103</w:t>
      </w:r>
      <w:r w:rsidRPr="00CA46BD">
        <w:rPr>
          <w:rFonts w:ascii="Calibri" w:hAnsi="Calibri" w:cs="Calibri"/>
          <w:noProof/>
          <w:szCs w:val="24"/>
        </w:rPr>
        <w:t>, 1–4 (2015).</w:t>
      </w:r>
    </w:p>
    <w:p w14:paraId="4FD9AEDD"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23.</w:t>
      </w:r>
      <w:r w:rsidRPr="00CA46BD">
        <w:rPr>
          <w:rFonts w:ascii="Calibri" w:hAnsi="Calibri" w:cs="Calibri"/>
          <w:noProof/>
          <w:szCs w:val="24"/>
        </w:rPr>
        <w:tab/>
        <w:t xml:space="preserve">Arts, B. Assessing forest governance from a ‘Triple G’ perspective: Government, governance, governmentality*. </w:t>
      </w:r>
      <w:r w:rsidRPr="00CA46BD">
        <w:rPr>
          <w:rFonts w:ascii="Calibri" w:hAnsi="Calibri" w:cs="Calibri"/>
          <w:i/>
          <w:iCs/>
          <w:noProof/>
          <w:szCs w:val="24"/>
        </w:rPr>
        <w:t>For. Policy Econ.</w:t>
      </w:r>
      <w:r w:rsidRPr="00CA46BD">
        <w:rPr>
          <w:rFonts w:ascii="Calibri" w:hAnsi="Calibri" w:cs="Calibri"/>
          <w:noProof/>
          <w:szCs w:val="24"/>
        </w:rPr>
        <w:t xml:space="preserve"> (2014) doi:10.1016/j.forpol.2014.05.008.</w:t>
      </w:r>
    </w:p>
    <w:p w14:paraId="6D16268E"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24.</w:t>
      </w:r>
      <w:r w:rsidRPr="00CA46BD">
        <w:rPr>
          <w:rFonts w:ascii="Calibri" w:hAnsi="Calibri" w:cs="Calibri"/>
          <w:noProof/>
          <w:szCs w:val="24"/>
        </w:rPr>
        <w:tab/>
        <w:t xml:space="preserve">Locatelli, B., Evans, V., Wardell, A., Andrade, A. &amp; Vignola, R. Forests and climate change in latin America: Linking adaptation and mitigation. </w:t>
      </w:r>
      <w:r w:rsidRPr="00CA46BD">
        <w:rPr>
          <w:rFonts w:ascii="Calibri" w:hAnsi="Calibri" w:cs="Calibri"/>
          <w:i/>
          <w:iCs/>
          <w:noProof/>
          <w:szCs w:val="24"/>
        </w:rPr>
        <w:t>Forests</w:t>
      </w:r>
      <w:r w:rsidRPr="00CA46BD">
        <w:rPr>
          <w:rFonts w:ascii="Calibri" w:hAnsi="Calibri" w:cs="Calibri"/>
          <w:noProof/>
          <w:szCs w:val="24"/>
        </w:rPr>
        <w:t xml:space="preserve"> (2011) doi:10.3390/f2010431.</w:t>
      </w:r>
    </w:p>
    <w:p w14:paraId="05D2005D"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25.</w:t>
      </w:r>
      <w:r w:rsidRPr="00CA46BD">
        <w:rPr>
          <w:rFonts w:ascii="Calibri" w:hAnsi="Calibri" w:cs="Calibri"/>
          <w:noProof/>
          <w:szCs w:val="24"/>
        </w:rPr>
        <w:tab/>
        <w:t xml:space="preserve">Certini, G. Effects of fire on properties of forest soils: A review. </w:t>
      </w:r>
      <w:r w:rsidRPr="00CA46BD">
        <w:rPr>
          <w:rFonts w:ascii="Calibri" w:hAnsi="Calibri" w:cs="Calibri"/>
          <w:i/>
          <w:iCs/>
          <w:noProof/>
          <w:szCs w:val="24"/>
        </w:rPr>
        <w:t>Oecologia</w:t>
      </w:r>
      <w:r w:rsidRPr="00CA46BD">
        <w:rPr>
          <w:rFonts w:ascii="Calibri" w:hAnsi="Calibri" w:cs="Calibri"/>
          <w:noProof/>
          <w:szCs w:val="24"/>
        </w:rPr>
        <w:t xml:space="preserve"> vol. 143 1–10 (2005).</w:t>
      </w:r>
    </w:p>
    <w:p w14:paraId="64649D1D"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26.</w:t>
      </w:r>
      <w:r w:rsidRPr="00CA46BD">
        <w:rPr>
          <w:rFonts w:ascii="Calibri" w:hAnsi="Calibri" w:cs="Calibri"/>
          <w:noProof/>
          <w:szCs w:val="24"/>
        </w:rPr>
        <w:tab/>
        <w:t xml:space="preserve">Gromtsev, A. Natural disturbance dynamics in the boreal forests of European Russia: A review. in </w:t>
      </w:r>
      <w:r w:rsidRPr="00CA46BD">
        <w:rPr>
          <w:rFonts w:ascii="Calibri" w:hAnsi="Calibri" w:cs="Calibri"/>
          <w:i/>
          <w:iCs/>
          <w:noProof/>
          <w:szCs w:val="24"/>
        </w:rPr>
        <w:t>Silva Fennica</w:t>
      </w:r>
      <w:r w:rsidRPr="00CA46BD">
        <w:rPr>
          <w:rFonts w:ascii="Calibri" w:hAnsi="Calibri" w:cs="Calibri"/>
          <w:noProof/>
          <w:szCs w:val="24"/>
        </w:rPr>
        <w:t xml:space="preserve"> vol. 36 41–55 (2002).</w:t>
      </w:r>
    </w:p>
    <w:p w14:paraId="02EC5D9F"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27.</w:t>
      </w:r>
      <w:r w:rsidRPr="00CA46BD">
        <w:rPr>
          <w:rFonts w:ascii="Calibri" w:hAnsi="Calibri" w:cs="Calibri"/>
          <w:noProof/>
          <w:szCs w:val="24"/>
        </w:rPr>
        <w:tab/>
        <w:t xml:space="preserve">Sutherland, E. F. &amp; Dickman, C. R. Mechanisms of recovery after fire by rodents in the Australian environment: A review. </w:t>
      </w:r>
      <w:r w:rsidRPr="00CA46BD">
        <w:rPr>
          <w:rFonts w:ascii="Calibri" w:hAnsi="Calibri" w:cs="Calibri"/>
          <w:i/>
          <w:iCs/>
          <w:noProof/>
          <w:szCs w:val="24"/>
        </w:rPr>
        <w:t>Wildl. Res.</w:t>
      </w:r>
      <w:r w:rsidRPr="00CA46BD">
        <w:rPr>
          <w:rFonts w:ascii="Calibri" w:hAnsi="Calibri" w:cs="Calibri"/>
          <w:noProof/>
          <w:szCs w:val="24"/>
        </w:rPr>
        <w:t xml:space="preserve"> </w:t>
      </w:r>
      <w:r w:rsidRPr="00CA46BD">
        <w:rPr>
          <w:rFonts w:ascii="Calibri" w:hAnsi="Calibri" w:cs="Calibri"/>
          <w:b/>
          <w:bCs/>
          <w:noProof/>
          <w:szCs w:val="24"/>
        </w:rPr>
        <w:t>26</w:t>
      </w:r>
      <w:r w:rsidRPr="00CA46BD">
        <w:rPr>
          <w:rFonts w:ascii="Calibri" w:hAnsi="Calibri" w:cs="Calibri"/>
          <w:noProof/>
          <w:szCs w:val="24"/>
        </w:rPr>
        <w:t>, 405–419 (1999).</w:t>
      </w:r>
    </w:p>
    <w:p w14:paraId="40D04872"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28.</w:t>
      </w:r>
      <w:r w:rsidRPr="00CA46BD">
        <w:rPr>
          <w:rFonts w:ascii="Calibri" w:hAnsi="Calibri" w:cs="Calibri"/>
          <w:noProof/>
          <w:szCs w:val="24"/>
        </w:rPr>
        <w:tab/>
        <w:t xml:space="preserve">DeSoto, L. </w:t>
      </w:r>
      <w:r w:rsidRPr="00CA46BD">
        <w:rPr>
          <w:rFonts w:ascii="Calibri" w:hAnsi="Calibri" w:cs="Calibri"/>
          <w:i/>
          <w:iCs/>
          <w:noProof/>
          <w:szCs w:val="24"/>
        </w:rPr>
        <w:t>et al.</w:t>
      </w:r>
      <w:r w:rsidRPr="00CA46BD">
        <w:rPr>
          <w:rFonts w:ascii="Calibri" w:hAnsi="Calibri" w:cs="Calibri"/>
          <w:noProof/>
          <w:szCs w:val="24"/>
        </w:rPr>
        <w:t xml:space="preserve"> Low growth resilience to drought is related to future mortality risk in trees. </w:t>
      </w:r>
      <w:r w:rsidRPr="00CA46BD">
        <w:rPr>
          <w:rFonts w:ascii="Calibri" w:hAnsi="Calibri" w:cs="Calibri"/>
          <w:i/>
          <w:iCs/>
          <w:noProof/>
          <w:szCs w:val="24"/>
        </w:rPr>
        <w:t>Nat. Commun.</w:t>
      </w:r>
      <w:r w:rsidRPr="00CA46BD">
        <w:rPr>
          <w:rFonts w:ascii="Calibri" w:hAnsi="Calibri" w:cs="Calibri"/>
          <w:noProof/>
          <w:szCs w:val="24"/>
        </w:rPr>
        <w:t xml:space="preserve"> </w:t>
      </w:r>
      <w:r w:rsidRPr="00CA46BD">
        <w:rPr>
          <w:rFonts w:ascii="Calibri" w:hAnsi="Calibri" w:cs="Calibri"/>
          <w:b/>
          <w:bCs/>
          <w:noProof/>
          <w:szCs w:val="24"/>
        </w:rPr>
        <w:t>11</w:t>
      </w:r>
      <w:r w:rsidRPr="00CA46BD">
        <w:rPr>
          <w:rFonts w:ascii="Calibri" w:hAnsi="Calibri" w:cs="Calibri"/>
          <w:noProof/>
          <w:szCs w:val="24"/>
        </w:rPr>
        <w:t>, (2020).</w:t>
      </w:r>
    </w:p>
    <w:p w14:paraId="1178134A"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29.</w:t>
      </w:r>
      <w:r w:rsidRPr="00CA46BD">
        <w:rPr>
          <w:rFonts w:ascii="Calibri" w:hAnsi="Calibri" w:cs="Calibri"/>
          <w:noProof/>
          <w:szCs w:val="24"/>
        </w:rPr>
        <w:tab/>
        <w:t xml:space="preserve">Forner, A., Morán-López, T., Flores-Rentería, D., Aranda, I. &amp; Valladares, F. Fragmentation reduces severe drought impacts on tree functioning in holm oak forests. </w:t>
      </w:r>
      <w:r w:rsidRPr="00CA46BD">
        <w:rPr>
          <w:rFonts w:ascii="Calibri" w:hAnsi="Calibri" w:cs="Calibri"/>
          <w:i/>
          <w:iCs/>
          <w:noProof/>
          <w:szCs w:val="24"/>
        </w:rPr>
        <w:t>Environ. Exp. Bot.</w:t>
      </w:r>
      <w:r w:rsidRPr="00CA46BD">
        <w:rPr>
          <w:rFonts w:ascii="Calibri" w:hAnsi="Calibri" w:cs="Calibri"/>
          <w:noProof/>
          <w:szCs w:val="24"/>
        </w:rPr>
        <w:t xml:space="preserve"> (2020) doi:10.1016/j.envexpbot.2020.104001.</w:t>
      </w:r>
    </w:p>
    <w:p w14:paraId="4688A824"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szCs w:val="24"/>
        </w:rPr>
      </w:pPr>
      <w:r w:rsidRPr="00CA46BD">
        <w:rPr>
          <w:rFonts w:ascii="Calibri" w:hAnsi="Calibri" w:cs="Calibri"/>
          <w:noProof/>
          <w:szCs w:val="24"/>
        </w:rPr>
        <w:t>30.</w:t>
      </w:r>
      <w:r w:rsidRPr="00CA46BD">
        <w:rPr>
          <w:rFonts w:ascii="Calibri" w:hAnsi="Calibri" w:cs="Calibri"/>
          <w:noProof/>
          <w:szCs w:val="24"/>
        </w:rPr>
        <w:tab/>
        <w:t xml:space="preserve">IPCC. Klimaänderung 2013/2014 - Naturwissenschaftliche Grundlagen. </w:t>
      </w:r>
      <w:r w:rsidRPr="00CA46BD">
        <w:rPr>
          <w:rFonts w:ascii="Calibri" w:hAnsi="Calibri" w:cs="Calibri"/>
          <w:i/>
          <w:iCs/>
          <w:noProof/>
          <w:szCs w:val="24"/>
        </w:rPr>
        <w:t>Zs.fass. für Polit. Entscheidungsträger. Beiträge der drei Arbeitsgruppen zum Fünften Sachstandsbericht des Zwischenstaatlichen Ausschusses für Klimaänderungen (IPCC). Dtsch. Übersetzungen durch Dtsch. IPCC-Koordinierungsstelle, Österreic</w:t>
      </w:r>
      <w:r w:rsidRPr="00CA46BD">
        <w:rPr>
          <w:rFonts w:ascii="Calibri" w:hAnsi="Calibri" w:cs="Calibri"/>
          <w:noProof/>
          <w:szCs w:val="24"/>
        </w:rPr>
        <w:t xml:space="preserve"> 28 (2013).</w:t>
      </w:r>
    </w:p>
    <w:p w14:paraId="03A75801" w14:textId="77777777" w:rsidR="00CA46BD" w:rsidRPr="00CA46BD" w:rsidRDefault="00CA46BD" w:rsidP="00CA46BD">
      <w:pPr>
        <w:widowControl w:val="0"/>
        <w:autoSpaceDE w:val="0"/>
        <w:autoSpaceDN w:val="0"/>
        <w:adjustRightInd w:val="0"/>
        <w:spacing w:line="240" w:lineRule="auto"/>
        <w:ind w:left="640" w:hanging="640"/>
        <w:rPr>
          <w:rFonts w:ascii="Calibri" w:hAnsi="Calibri" w:cs="Calibri"/>
          <w:noProof/>
        </w:rPr>
      </w:pPr>
      <w:r w:rsidRPr="00CA46BD">
        <w:rPr>
          <w:rFonts w:ascii="Calibri" w:hAnsi="Calibri" w:cs="Calibri"/>
          <w:noProof/>
          <w:szCs w:val="24"/>
        </w:rPr>
        <w:t>31.</w:t>
      </w:r>
      <w:r w:rsidRPr="00CA46BD">
        <w:rPr>
          <w:rFonts w:ascii="Calibri" w:hAnsi="Calibri" w:cs="Calibri"/>
          <w:noProof/>
          <w:szCs w:val="24"/>
        </w:rPr>
        <w:tab/>
        <w:t xml:space="preserve">Elmqvist, T., Rainey, W. E., Pierson, E. D. &amp; Cox, P. A. </w:t>
      </w:r>
      <w:r w:rsidRPr="00CA46BD">
        <w:rPr>
          <w:rFonts w:ascii="Calibri" w:hAnsi="Calibri" w:cs="Calibri"/>
          <w:i/>
          <w:iCs/>
          <w:noProof/>
          <w:szCs w:val="24"/>
        </w:rPr>
        <w:t>Effects of Tropical Cyclones Ofa and Val on the Structure of a Samoan Lowland Rain</w:t>
      </w:r>
      <w:r w:rsidRPr="00CA46BD">
        <w:rPr>
          <w:rFonts w:ascii="Calibri" w:hAnsi="Calibri" w:cs="Calibri"/>
          <w:noProof/>
          <w:szCs w:val="24"/>
        </w:rPr>
        <w:t>. vol. 26 (1994).</w:t>
      </w:r>
    </w:p>
    <w:p w14:paraId="45C400F1" w14:textId="6B209266" w:rsidR="00AE20AF" w:rsidRPr="00D230CC" w:rsidRDefault="00031D9B" w:rsidP="0090638A">
      <w:pPr>
        <w:widowControl w:val="0"/>
        <w:autoSpaceDE w:val="0"/>
        <w:autoSpaceDN w:val="0"/>
        <w:adjustRightInd w:val="0"/>
        <w:spacing w:line="240" w:lineRule="auto"/>
        <w:ind w:left="640" w:hanging="640"/>
        <w:rPr>
          <w:lang w:val="de-CH"/>
        </w:rPr>
      </w:pPr>
      <w:r>
        <w:rPr>
          <w:lang w:val="de-CH"/>
        </w:rPr>
        <w:fldChar w:fldCharType="end"/>
      </w:r>
    </w:p>
    <w:sectPr w:rsidR="00AE20AF" w:rsidRPr="00D230CC" w:rsidSect="00D46D76">
      <w:footerReference w:type="default" r:id="rId10"/>
      <w:pgSz w:w="12240" w:h="15840"/>
      <w:pgMar w:top="993" w:right="1417" w:bottom="1134"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21A89" w14:textId="77777777" w:rsidR="002D08F8" w:rsidRDefault="002D08F8" w:rsidP="00057559">
      <w:pPr>
        <w:spacing w:after="0" w:line="240" w:lineRule="auto"/>
      </w:pPr>
      <w:r>
        <w:separator/>
      </w:r>
    </w:p>
  </w:endnote>
  <w:endnote w:type="continuationSeparator" w:id="0">
    <w:p w14:paraId="6E95F547" w14:textId="77777777" w:rsidR="002D08F8" w:rsidRDefault="002D08F8" w:rsidP="0005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5F86" w14:textId="5B361A00" w:rsidR="001B4FB1" w:rsidRDefault="001B4FB1">
    <w:pPr>
      <w:pStyle w:val="Fuzeile"/>
    </w:pPr>
    <w:r>
      <w:t>Seminar Umweltsysteme</w:t>
    </w:r>
    <w:r>
      <w:ptab w:relativeTo="margin" w:alignment="center" w:leader="none"/>
    </w:r>
    <w:r>
      <w:ptab w:relativeTo="margin" w:alignment="right" w:leader="none"/>
    </w:r>
    <w:r>
      <w:t>FS2020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068C" w14:textId="77777777" w:rsidR="002D08F8" w:rsidRDefault="002D08F8" w:rsidP="00057559">
      <w:pPr>
        <w:spacing w:after="0" w:line="240" w:lineRule="auto"/>
      </w:pPr>
      <w:r>
        <w:separator/>
      </w:r>
    </w:p>
  </w:footnote>
  <w:footnote w:type="continuationSeparator" w:id="0">
    <w:p w14:paraId="3A110BB5" w14:textId="77777777" w:rsidR="002D08F8" w:rsidRDefault="002D08F8" w:rsidP="0005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BF4"/>
    <w:multiLevelType w:val="hybridMultilevel"/>
    <w:tmpl w:val="29D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1C7D"/>
    <w:multiLevelType w:val="hybridMultilevel"/>
    <w:tmpl w:val="47DE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5282"/>
    <w:multiLevelType w:val="hybridMultilevel"/>
    <w:tmpl w:val="3522C930"/>
    <w:lvl w:ilvl="0" w:tplc="04070001">
      <w:start w:val="1"/>
      <w:numFmt w:val="bullet"/>
      <w:lvlText w:val=""/>
      <w:lvlJc w:val="left"/>
      <w:pPr>
        <w:ind w:left="720" w:hanging="360"/>
      </w:pPr>
      <w:rPr>
        <w:rFonts w:ascii="Symbol" w:hAnsi="Symbol"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64F12"/>
    <w:multiLevelType w:val="hybridMultilevel"/>
    <w:tmpl w:val="535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059D7"/>
    <w:multiLevelType w:val="hybridMultilevel"/>
    <w:tmpl w:val="087E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1676B"/>
    <w:multiLevelType w:val="hybridMultilevel"/>
    <w:tmpl w:val="8E54ABA8"/>
    <w:lvl w:ilvl="0" w:tplc="04070001">
      <w:start w:val="1"/>
      <w:numFmt w:val="bullet"/>
      <w:lvlText w:val=""/>
      <w:lvlJc w:val="left"/>
      <w:pPr>
        <w:ind w:left="720" w:hanging="360"/>
      </w:pPr>
      <w:rPr>
        <w:rFonts w:ascii="Symbol" w:hAnsi="Symbol"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D55BF4"/>
    <w:multiLevelType w:val="hybridMultilevel"/>
    <w:tmpl w:val="D8AA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55D03"/>
    <w:multiLevelType w:val="hybridMultilevel"/>
    <w:tmpl w:val="F014D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4E7C8C"/>
    <w:multiLevelType w:val="hybridMultilevel"/>
    <w:tmpl w:val="C09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D60FB"/>
    <w:multiLevelType w:val="hybridMultilevel"/>
    <w:tmpl w:val="72D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93DE3"/>
    <w:multiLevelType w:val="hybridMultilevel"/>
    <w:tmpl w:val="E8F8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139FF"/>
    <w:multiLevelType w:val="hybridMultilevel"/>
    <w:tmpl w:val="3A7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F3065"/>
    <w:multiLevelType w:val="hybridMultilevel"/>
    <w:tmpl w:val="ADB8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311514"/>
    <w:multiLevelType w:val="hybridMultilevel"/>
    <w:tmpl w:val="CFE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1508B"/>
    <w:multiLevelType w:val="hybridMultilevel"/>
    <w:tmpl w:val="36FC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C2C0E"/>
    <w:multiLevelType w:val="hybridMultilevel"/>
    <w:tmpl w:val="B4CEEF12"/>
    <w:lvl w:ilvl="0" w:tplc="04070001">
      <w:start w:val="1"/>
      <w:numFmt w:val="bullet"/>
      <w:lvlText w:val=""/>
      <w:lvlJc w:val="left"/>
      <w:pPr>
        <w:ind w:left="720" w:hanging="360"/>
      </w:pPr>
      <w:rPr>
        <w:rFonts w:ascii="Symbol" w:hAnsi="Symbol"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716676"/>
    <w:multiLevelType w:val="hybridMultilevel"/>
    <w:tmpl w:val="EF9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30113"/>
    <w:multiLevelType w:val="hybridMultilevel"/>
    <w:tmpl w:val="C01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82B49"/>
    <w:multiLevelType w:val="hybridMultilevel"/>
    <w:tmpl w:val="881C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1"/>
  </w:num>
  <w:num w:numId="5">
    <w:abstractNumId w:val="0"/>
  </w:num>
  <w:num w:numId="6">
    <w:abstractNumId w:val="13"/>
  </w:num>
  <w:num w:numId="7">
    <w:abstractNumId w:val="1"/>
  </w:num>
  <w:num w:numId="8">
    <w:abstractNumId w:val="17"/>
  </w:num>
  <w:num w:numId="9">
    <w:abstractNumId w:val="18"/>
  </w:num>
  <w:num w:numId="10">
    <w:abstractNumId w:val="16"/>
  </w:num>
  <w:num w:numId="11">
    <w:abstractNumId w:val="6"/>
  </w:num>
  <w:num w:numId="12">
    <w:abstractNumId w:val="8"/>
  </w:num>
  <w:num w:numId="13">
    <w:abstractNumId w:val="4"/>
  </w:num>
  <w:num w:numId="14">
    <w:abstractNumId w:val="12"/>
  </w:num>
  <w:num w:numId="15">
    <w:abstractNumId w:val="7"/>
  </w:num>
  <w:num w:numId="16">
    <w:abstractNumId w:val="15"/>
  </w:num>
  <w:num w:numId="17">
    <w:abstractNumId w:val="5"/>
  </w:num>
  <w:num w:numId="18">
    <w:abstractNumId w:val="2"/>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B06"/>
    <w:rsid w:val="00005B57"/>
    <w:rsid w:val="00031D9B"/>
    <w:rsid w:val="00057559"/>
    <w:rsid w:val="00110D43"/>
    <w:rsid w:val="00133AFC"/>
    <w:rsid w:val="00170AC3"/>
    <w:rsid w:val="001B4FB1"/>
    <w:rsid w:val="00227B0B"/>
    <w:rsid w:val="00241583"/>
    <w:rsid w:val="00266775"/>
    <w:rsid w:val="002725C6"/>
    <w:rsid w:val="002A7096"/>
    <w:rsid w:val="002C11D3"/>
    <w:rsid w:val="002D08F8"/>
    <w:rsid w:val="002F7EC8"/>
    <w:rsid w:val="003135E4"/>
    <w:rsid w:val="0034696F"/>
    <w:rsid w:val="0035337B"/>
    <w:rsid w:val="003D11BC"/>
    <w:rsid w:val="003E6CE5"/>
    <w:rsid w:val="0042406D"/>
    <w:rsid w:val="004D01AC"/>
    <w:rsid w:val="005A56D3"/>
    <w:rsid w:val="005A61F7"/>
    <w:rsid w:val="005A66EA"/>
    <w:rsid w:val="005B7379"/>
    <w:rsid w:val="006243A3"/>
    <w:rsid w:val="006429F0"/>
    <w:rsid w:val="00674010"/>
    <w:rsid w:val="006868E3"/>
    <w:rsid w:val="00694BDD"/>
    <w:rsid w:val="00695947"/>
    <w:rsid w:val="006C47A3"/>
    <w:rsid w:val="006E2D8E"/>
    <w:rsid w:val="007025C7"/>
    <w:rsid w:val="00732D6D"/>
    <w:rsid w:val="00757614"/>
    <w:rsid w:val="00776E34"/>
    <w:rsid w:val="00787BFC"/>
    <w:rsid w:val="007E6221"/>
    <w:rsid w:val="00881F47"/>
    <w:rsid w:val="008B6AC3"/>
    <w:rsid w:val="008E20C0"/>
    <w:rsid w:val="0090638A"/>
    <w:rsid w:val="00915C0D"/>
    <w:rsid w:val="00933D15"/>
    <w:rsid w:val="00936AF1"/>
    <w:rsid w:val="0099220F"/>
    <w:rsid w:val="00A333AD"/>
    <w:rsid w:val="00A8093D"/>
    <w:rsid w:val="00AD3CEF"/>
    <w:rsid w:val="00AD5C0D"/>
    <w:rsid w:val="00AE20AF"/>
    <w:rsid w:val="00AF34C7"/>
    <w:rsid w:val="00B24E75"/>
    <w:rsid w:val="00B27951"/>
    <w:rsid w:val="00B32B06"/>
    <w:rsid w:val="00B34357"/>
    <w:rsid w:val="00B86A16"/>
    <w:rsid w:val="00BF463A"/>
    <w:rsid w:val="00C01E64"/>
    <w:rsid w:val="00C3283B"/>
    <w:rsid w:val="00C41EF7"/>
    <w:rsid w:val="00C97327"/>
    <w:rsid w:val="00CA46BD"/>
    <w:rsid w:val="00CE05F8"/>
    <w:rsid w:val="00D148BD"/>
    <w:rsid w:val="00D230CC"/>
    <w:rsid w:val="00D337D8"/>
    <w:rsid w:val="00D46D76"/>
    <w:rsid w:val="00D86CF2"/>
    <w:rsid w:val="00D93630"/>
    <w:rsid w:val="00DD1320"/>
    <w:rsid w:val="00E0529E"/>
    <w:rsid w:val="00E21C3F"/>
    <w:rsid w:val="00E779C5"/>
    <w:rsid w:val="00EB3E0D"/>
    <w:rsid w:val="00EC29BA"/>
    <w:rsid w:val="00EE2FCC"/>
    <w:rsid w:val="00F7353A"/>
    <w:rsid w:val="00FF3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35B0D"/>
  <w15:docId w15:val="{8B30FDFF-6DE3-4AAB-95E4-3256696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D23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23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2406D"/>
    <w:pPr>
      <w:keepNext/>
      <w:keepLines/>
      <w:spacing w:before="40" w:after="0"/>
      <w:outlineLvl w:val="2"/>
    </w:pPr>
    <w:rPr>
      <w:rFonts w:asciiTheme="majorHAnsi" w:eastAsiaTheme="majorEastAsia" w:hAnsiTheme="majorHAnsi" w:cstheme="majorBidi"/>
      <w:color w:val="1F4D78" w:themeColor="accent1" w:themeShade="7F"/>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559"/>
    <w:rPr>
      <w:lang w:val="en-GB"/>
    </w:rPr>
  </w:style>
  <w:style w:type="paragraph" w:styleId="Fuzeile">
    <w:name w:val="footer"/>
    <w:basedOn w:val="Standard"/>
    <w:link w:val="FuzeileZchn"/>
    <w:uiPriority w:val="99"/>
    <w:unhideWhenUsed/>
    <w:rsid w:val="00057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559"/>
    <w:rPr>
      <w:lang w:val="en-GB"/>
    </w:rPr>
  </w:style>
  <w:style w:type="paragraph" w:styleId="Titel">
    <w:name w:val="Title"/>
    <w:basedOn w:val="Standard"/>
    <w:next w:val="Standard"/>
    <w:link w:val="TitelZchn"/>
    <w:uiPriority w:val="10"/>
    <w:qFormat/>
    <w:rsid w:val="00D23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230CC"/>
    <w:rPr>
      <w:rFonts w:asciiTheme="majorHAnsi" w:eastAsiaTheme="majorEastAsia" w:hAnsiTheme="majorHAnsi" w:cstheme="majorBidi"/>
      <w:spacing w:val="-10"/>
      <w:kern w:val="28"/>
      <w:sz w:val="56"/>
      <w:szCs w:val="56"/>
      <w:lang w:val="en-GB"/>
    </w:rPr>
  </w:style>
  <w:style w:type="paragraph" w:styleId="Untertitel">
    <w:name w:val="Subtitle"/>
    <w:basedOn w:val="Standard"/>
    <w:next w:val="Standard"/>
    <w:link w:val="UntertitelZchn"/>
    <w:uiPriority w:val="11"/>
    <w:qFormat/>
    <w:rsid w:val="00D230C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230CC"/>
    <w:rPr>
      <w:rFonts w:eastAsiaTheme="minorEastAsia"/>
      <w:color w:val="5A5A5A" w:themeColor="text1" w:themeTint="A5"/>
      <w:spacing w:val="15"/>
      <w:lang w:val="en-GB"/>
    </w:rPr>
  </w:style>
  <w:style w:type="character" w:customStyle="1" w:styleId="berschrift1Zchn">
    <w:name w:val="Überschrift 1 Zchn"/>
    <w:basedOn w:val="Absatz-Standardschriftart"/>
    <w:link w:val="berschrift1"/>
    <w:uiPriority w:val="9"/>
    <w:rsid w:val="00D230CC"/>
    <w:rPr>
      <w:rFonts w:asciiTheme="majorHAnsi" w:eastAsiaTheme="majorEastAsia" w:hAnsiTheme="majorHAnsi" w:cstheme="majorBidi"/>
      <w:color w:val="2E74B5" w:themeColor="accent1" w:themeShade="BF"/>
      <w:sz w:val="32"/>
      <w:szCs w:val="32"/>
      <w:lang w:val="en-GB"/>
    </w:rPr>
  </w:style>
  <w:style w:type="character" w:customStyle="1" w:styleId="berschrift2Zchn">
    <w:name w:val="Überschrift 2 Zchn"/>
    <w:basedOn w:val="Absatz-Standardschriftart"/>
    <w:link w:val="berschrift2"/>
    <w:uiPriority w:val="9"/>
    <w:rsid w:val="00D230CC"/>
    <w:rPr>
      <w:rFonts w:asciiTheme="majorHAnsi" w:eastAsiaTheme="majorEastAsia" w:hAnsiTheme="majorHAnsi" w:cstheme="majorBidi"/>
      <w:color w:val="2E74B5" w:themeColor="accent1" w:themeShade="BF"/>
      <w:sz w:val="26"/>
      <w:szCs w:val="26"/>
      <w:lang w:val="en-GB"/>
    </w:rPr>
  </w:style>
  <w:style w:type="character" w:customStyle="1" w:styleId="berschrift3Zchn">
    <w:name w:val="Überschrift 3 Zchn"/>
    <w:basedOn w:val="Absatz-Standardschriftart"/>
    <w:link w:val="berschrift3"/>
    <w:uiPriority w:val="9"/>
    <w:rsid w:val="0042406D"/>
    <w:rPr>
      <w:rFonts w:asciiTheme="majorHAnsi" w:eastAsiaTheme="majorEastAsia" w:hAnsiTheme="majorHAnsi" w:cstheme="majorBidi"/>
      <w:color w:val="1F4D78" w:themeColor="accent1" w:themeShade="7F"/>
      <w:sz w:val="24"/>
      <w:szCs w:val="24"/>
      <w:lang w:val="de-CH"/>
    </w:rPr>
  </w:style>
  <w:style w:type="character" w:styleId="Hervorhebung">
    <w:name w:val="Emphasis"/>
    <w:basedOn w:val="Absatz-Standardschriftart"/>
    <w:uiPriority w:val="20"/>
    <w:qFormat/>
    <w:rsid w:val="00D230CC"/>
    <w:rPr>
      <w:i/>
      <w:iCs/>
    </w:rPr>
  </w:style>
  <w:style w:type="paragraph" w:styleId="StandardWeb">
    <w:name w:val="Normal (Web)"/>
    <w:basedOn w:val="Standard"/>
    <w:uiPriority w:val="99"/>
    <w:unhideWhenUsed/>
    <w:rsid w:val="00B34357"/>
    <w:pPr>
      <w:spacing w:before="100" w:beforeAutospacing="1" w:after="100" w:afterAutospacing="1" w:line="240" w:lineRule="auto"/>
    </w:pPr>
    <w:rPr>
      <w:rFonts w:ascii="Times New Roman" w:hAnsi="Times New Roman" w:cs="Times New Roman"/>
      <w:sz w:val="20"/>
      <w:szCs w:val="20"/>
      <w:lang w:val="en-US"/>
    </w:rPr>
  </w:style>
  <w:style w:type="paragraph" w:styleId="Listenabsatz">
    <w:name w:val="List Paragraph"/>
    <w:basedOn w:val="Standard"/>
    <w:uiPriority w:val="34"/>
    <w:qFormat/>
    <w:rsid w:val="00AD3CEF"/>
    <w:pPr>
      <w:ind w:left="720"/>
      <w:contextualSpacing/>
    </w:pPr>
    <w:rPr>
      <w:lang w:val="en-US"/>
    </w:rPr>
  </w:style>
  <w:style w:type="character" w:styleId="Kommentarzeichen">
    <w:name w:val="annotation reference"/>
    <w:basedOn w:val="Absatz-Standardschriftart"/>
    <w:uiPriority w:val="99"/>
    <w:semiHidden/>
    <w:unhideWhenUsed/>
    <w:rsid w:val="00C97327"/>
    <w:rPr>
      <w:sz w:val="16"/>
      <w:szCs w:val="16"/>
    </w:rPr>
  </w:style>
  <w:style w:type="paragraph" w:styleId="Kommentartext">
    <w:name w:val="annotation text"/>
    <w:basedOn w:val="Standard"/>
    <w:link w:val="KommentartextZchn"/>
    <w:uiPriority w:val="99"/>
    <w:unhideWhenUsed/>
    <w:rsid w:val="00C97327"/>
    <w:pPr>
      <w:spacing w:after="0" w:line="240" w:lineRule="auto"/>
    </w:pPr>
    <w:rPr>
      <w:sz w:val="20"/>
      <w:szCs w:val="20"/>
    </w:rPr>
  </w:style>
  <w:style w:type="character" w:customStyle="1" w:styleId="KommentartextZchn">
    <w:name w:val="Kommentartext Zchn"/>
    <w:basedOn w:val="Absatz-Standardschriftart"/>
    <w:link w:val="Kommentartext"/>
    <w:uiPriority w:val="99"/>
    <w:rsid w:val="00C97327"/>
    <w:rPr>
      <w:sz w:val="20"/>
      <w:szCs w:val="20"/>
      <w:lang w:val="en-GB"/>
    </w:rPr>
  </w:style>
  <w:style w:type="paragraph" w:styleId="Sprechblasentext">
    <w:name w:val="Balloon Text"/>
    <w:basedOn w:val="Standard"/>
    <w:link w:val="SprechblasentextZchn"/>
    <w:uiPriority w:val="99"/>
    <w:semiHidden/>
    <w:unhideWhenUsed/>
    <w:rsid w:val="00C97327"/>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97327"/>
    <w:rPr>
      <w:rFonts w:ascii="Lucida Grande" w:hAnsi="Lucida Grande" w:cs="Lucida Grande"/>
      <w:sz w:val="18"/>
      <w:szCs w:val="18"/>
      <w:lang w:val="en-GB"/>
    </w:rPr>
  </w:style>
  <w:style w:type="paragraph" w:styleId="Kommentarthema">
    <w:name w:val="annotation subject"/>
    <w:basedOn w:val="Kommentartext"/>
    <w:next w:val="Kommentartext"/>
    <w:link w:val="KommentarthemaZchn"/>
    <w:uiPriority w:val="99"/>
    <w:semiHidden/>
    <w:unhideWhenUsed/>
    <w:rsid w:val="00C01E64"/>
    <w:pPr>
      <w:spacing w:after="160"/>
    </w:pPr>
    <w:rPr>
      <w:b/>
      <w:bCs/>
    </w:rPr>
  </w:style>
  <w:style w:type="character" w:customStyle="1" w:styleId="KommentarthemaZchn">
    <w:name w:val="Kommentarthema Zchn"/>
    <w:basedOn w:val="KommentartextZchn"/>
    <w:link w:val="Kommentarthema"/>
    <w:uiPriority w:val="99"/>
    <w:semiHidden/>
    <w:rsid w:val="00C01E6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1935">
      <w:bodyDiv w:val="1"/>
      <w:marLeft w:val="0"/>
      <w:marRight w:val="0"/>
      <w:marTop w:val="0"/>
      <w:marBottom w:val="0"/>
      <w:divBdr>
        <w:top w:val="none" w:sz="0" w:space="0" w:color="auto"/>
        <w:left w:val="none" w:sz="0" w:space="0" w:color="auto"/>
        <w:bottom w:val="none" w:sz="0" w:space="0" w:color="auto"/>
        <w:right w:val="none" w:sz="0" w:space="0" w:color="auto"/>
      </w:divBdr>
    </w:div>
    <w:div w:id="337997986">
      <w:bodyDiv w:val="1"/>
      <w:marLeft w:val="0"/>
      <w:marRight w:val="0"/>
      <w:marTop w:val="0"/>
      <w:marBottom w:val="0"/>
      <w:divBdr>
        <w:top w:val="none" w:sz="0" w:space="0" w:color="auto"/>
        <w:left w:val="none" w:sz="0" w:space="0" w:color="auto"/>
        <w:bottom w:val="none" w:sz="0" w:space="0" w:color="auto"/>
        <w:right w:val="none" w:sz="0" w:space="0" w:color="auto"/>
      </w:divBdr>
    </w:div>
    <w:div w:id="368602522">
      <w:bodyDiv w:val="1"/>
      <w:marLeft w:val="0"/>
      <w:marRight w:val="0"/>
      <w:marTop w:val="0"/>
      <w:marBottom w:val="0"/>
      <w:divBdr>
        <w:top w:val="none" w:sz="0" w:space="0" w:color="auto"/>
        <w:left w:val="none" w:sz="0" w:space="0" w:color="auto"/>
        <w:bottom w:val="none" w:sz="0" w:space="0" w:color="auto"/>
        <w:right w:val="none" w:sz="0" w:space="0" w:color="auto"/>
      </w:divBdr>
    </w:div>
    <w:div w:id="396437069">
      <w:bodyDiv w:val="1"/>
      <w:marLeft w:val="0"/>
      <w:marRight w:val="0"/>
      <w:marTop w:val="0"/>
      <w:marBottom w:val="0"/>
      <w:divBdr>
        <w:top w:val="none" w:sz="0" w:space="0" w:color="auto"/>
        <w:left w:val="none" w:sz="0" w:space="0" w:color="auto"/>
        <w:bottom w:val="none" w:sz="0" w:space="0" w:color="auto"/>
        <w:right w:val="none" w:sz="0" w:space="0" w:color="auto"/>
      </w:divBdr>
    </w:div>
    <w:div w:id="792528314">
      <w:bodyDiv w:val="1"/>
      <w:marLeft w:val="0"/>
      <w:marRight w:val="0"/>
      <w:marTop w:val="0"/>
      <w:marBottom w:val="0"/>
      <w:divBdr>
        <w:top w:val="none" w:sz="0" w:space="0" w:color="auto"/>
        <w:left w:val="none" w:sz="0" w:space="0" w:color="auto"/>
        <w:bottom w:val="none" w:sz="0" w:space="0" w:color="auto"/>
        <w:right w:val="none" w:sz="0" w:space="0" w:color="auto"/>
      </w:divBdr>
    </w:div>
    <w:div w:id="837185378">
      <w:bodyDiv w:val="1"/>
      <w:marLeft w:val="0"/>
      <w:marRight w:val="0"/>
      <w:marTop w:val="0"/>
      <w:marBottom w:val="0"/>
      <w:divBdr>
        <w:top w:val="none" w:sz="0" w:space="0" w:color="auto"/>
        <w:left w:val="none" w:sz="0" w:space="0" w:color="auto"/>
        <w:bottom w:val="none" w:sz="0" w:space="0" w:color="auto"/>
        <w:right w:val="none" w:sz="0" w:space="0" w:color="auto"/>
      </w:divBdr>
    </w:div>
    <w:div w:id="869999340">
      <w:bodyDiv w:val="1"/>
      <w:marLeft w:val="0"/>
      <w:marRight w:val="0"/>
      <w:marTop w:val="0"/>
      <w:marBottom w:val="0"/>
      <w:divBdr>
        <w:top w:val="none" w:sz="0" w:space="0" w:color="auto"/>
        <w:left w:val="none" w:sz="0" w:space="0" w:color="auto"/>
        <w:bottom w:val="none" w:sz="0" w:space="0" w:color="auto"/>
        <w:right w:val="none" w:sz="0" w:space="0" w:color="auto"/>
      </w:divBdr>
    </w:div>
    <w:div w:id="1039746964">
      <w:bodyDiv w:val="1"/>
      <w:marLeft w:val="0"/>
      <w:marRight w:val="0"/>
      <w:marTop w:val="0"/>
      <w:marBottom w:val="0"/>
      <w:divBdr>
        <w:top w:val="none" w:sz="0" w:space="0" w:color="auto"/>
        <w:left w:val="none" w:sz="0" w:space="0" w:color="auto"/>
        <w:bottom w:val="none" w:sz="0" w:space="0" w:color="auto"/>
        <w:right w:val="none" w:sz="0" w:space="0" w:color="auto"/>
      </w:divBdr>
    </w:div>
    <w:div w:id="1092969006">
      <w:bodyDiv w:val="1"/>
      <w:marLeft w:val="0"/>
      <w:marRight w:val="0"/>
      <w:marTop w:val="0"/>
      <w:marBottom w:val="0"/>
      <w:divBdr>
        <w:top w:val="none" w:sz="0" w:space="0" w:color="auto"/>
        <w:left w:val="none" w:sz="0" w:space="0" w:color="auto"/>
        <w:bottom w:val="none" w:sz="0" w:space="0" w:color="auto"/>
        <w:right w:val="none" w:sz="0" w:space="0" w:color="auto"/>
      </w:divBdr>
    </w:div>
    <w:div w:id="1348630636">
      <w:bodyDiv w:val="1"/>
      <w:marLeft w:val="0"/>
      <w:marRight w:val="0"/>
      <w:marTop w:val="0"/>
      <w:marBottom w:val="0"/>
      <w:divBdr>
        <w:top w:val="none" w:sz="0" w:space="0" w:color="auto"/>
        <w:left w:val="none" w:sz="0" w:space="0" w:color="auto"/>
        <w:bottom w:val="none" w:sz="0" w:space="0" w:color="auto"/>
        <w:right w:val="none" w:sz="0" w:space="0" w:color="auto"/>
      </w:divBdr>
    </w:div>
    <w:div w:id="1383019730">
      <w:bodyDiv w:val="1"/>
      <w:marLeft w:val="0"/>
      <w:marRight w:val="0"/>
      <w:marTop w:val="0"/>
      <w:marBottom w:val="0"/>
      <w:divBdr>
        <w:top w:val="none" w:sz="0" w:space="0" w:color="auto"/>
        <w:left w:val="none" w:sz="0" w:space="0" w:color="auto"/>
        <w:bottom w:val="none" w:sz="0" w:space="0" w:color="auto"/>
        <w:right w:val="none" w:sz="0" w:space="0" w:color="auto"/>
      </w:divBdr>
    </w:div>
    <w:div w:id="1457672809">
      <w:bodyDiv w:val="1"/>
      <w:marLeft w:val="0"/>
      <w:marRight w:val="0"/>
      <w:marTop w:val="0"/>
      <w:marBottom w:val="0"/>
      <w:divBdr>
        <w:top w:val="none" w:sz="0" w:space="0" w:color="auto"/>
        <w:left w:val="none" w:sz="0" w:space="0" w:color="auto"/>
        <w:bottom w:val="none" w:sz="0" w:space="0" w:color="auto"/>
        <w:right w:val="none" w:sz="0" w:space="0" w:color="auto"/>
      </w:divBdr>
    </w:div>
    <w:div w:id="1486973960">
      <w:bodyDiv w:val="1"/>
      <w:marLeft w:val="0"/>
      <w:marRight w:val="0"/>
      <w:marTop w:val="0"/>
      <w:marBottom w:val="0"/>
      <w:divBdr>
        <w:top w:val="none" w:sz="0" w:space="0" w:color="auto"/>
        <w:left w:val="none" w:sz="0" w:space="0" w:color="auto"/>
        <w:bottom w:val="none" w:sz="0" w:space="0" w:color="auto"/>
        <w:right w:val="none" w:sz="0" w:space="0" w:color="auto"/>
      </w:divBdr>
    </w:div>
    <w:div w:id="1504007016">
      <w:bodyDiv w:val="1"/>
      <w:marLeft w:val="0"/>
      <w:marRight w:val="0"/>
      <w:marTop w:val="0"/>
      <w:marBottom w:val="0"/>
      <w:divBdr>
        <w:top w:val="none" w:sz="0" w:space="0" w:color="auto"/>
        <w:left w:val="none" w:sz="0" w:space="0" w:color="auto"/>
        <w:bottom w:val="none" w:sz="0" w:space="0" w:color="auto"/>
        <w:right w:val="none" w:sz="0" w:space="0" w:color="auto"/>
      </w:divBdr>
    </w:div>
    <w:div w:id="1521430845">
      <w:bodyDiv w:val="1"/>
      <w:marLeft w:val="0"/>
      <w:marRight w:val="0"/>
      <w:marTop w:val="0"/>
      <w:marBottom w:val="0"/>
      <w:divBdr>
        <w:top w:val="none" w:sz="0" w:space="0" w:color="auto"/>
        <w:left w:val="none" w:sz="0" w:space="0" w:color="auto"/>
        <w:bottom w:val="none" w:sz="0" w:space="0" w:color="auto"/>
        <w:right w:val="none" w:sz="0" w:space="0" w:color="auto"/>
      </w:divBdr>
    </w:div>
    <w:div w:id="1536045205">
      <w:bodyDiv w:val="1"/>
      <w:marLeft w:val="0"/>
      <w:marRight w:val="0"/>
      <w:marTop w:val="0"/>
      <w:marBottom w:val="0"/>
      <w:divBdr>
        <w:top w:val="none" w:sz="0" w:space="0" w:color="auto"/>
        <w:left w:val="none" w:sz="0" w:space="0" w:color="auto"/>
        <w:bottom w:val="none" w:sz="0" w:space="0" w:color="auto"/>
        <w:right w:val="none" w:sz="0" w:space="0" w:color="auto"/>
      </w:divBdr>
    </w:div>
    <w:div w:id="1703479233">
      <w:bodyDiv w:val="1"/>
      <w:marLeft w:val="0"/>
      <w:marRight w:val="0"/>
      <w:marTop w:val="0"/>
      <w:marBottom w:val="0"/>
      <w:divBdr>
        <w:top w:val="none" w:sz="0" w:space="0" w:color="auto"/>
        <w:left w:val="none" w:sz="0" w:space="0" w:color="auto"/>
        <w:bottom w:val="none" w:sz="0" w:space="0" w:color="auto"/>
        <w:right w:val="none" w:sz="0" w:space="0" w:color="auto"/>
      </w:divBdr>
    </w:div>
    <w:div w:id="1819375265">
      <w:bodyDiv w:val="1"/>
      <w:marLeft w:val="0"/>
      <w:marRight w:val="0"/>
      <w:marTop w:val="0"/>
      <w:marBottom w:val="0"/>
      <w:divBdr>
        <w:top w:val="none" w:sz="0" w:space="0" w:color="auto"/>
        <w:left w:val="none" w:sz="0" w:space="0" w:color="auto"/>
        <w:bottom w:val="none" w:sz="0" w:space="0" w:color="auto"/>
        <w:right w:val="none" w:sz="0" w:space="0" w:color="auto"/>
      </w:divBdr>
    </w:div>
    <w:div w:id="1865749539">
      <w:bodyDiv w:val="1"/>
      <w:marLeft w:val="0"/>
      <w:marRight w:val="0"/>
      <w:marTop w:val="0"/>
      <w:marBottom w:val="0"/>
      <w:divBdr>
        <w:top w:val="none" w:sz="0" w:space="0" w:color="auto"/>
        <w:left w:val="none" w:sz="0" w:space="0" w:color="auto"/>
        <w:bottom w:val="none" w:sz="0" w:space="0" w:color="auto"/>
        <w:right w:val="none" w:sz="0" w:space="0" w:color="auto"/>
      </w:divBdr>
    </w:div>
    <w:div w:id="1935627519">
      <w:bodyDiv w:val="1"/>
      <w:marLeft w:val="0"/>
      <w:marRight w:val="0"/>
      <w:marTop w:val="0"/>
      <w:marBottom w:val="0"/>
      <w:divBdr>
        <w:top w:val="none" w:sz="0" w:space="0" w:color="auto"/>
        <w:left w:val="none" w:sz="0" w:space="0" w:color="auto"/>
        <w:bottom w:val="none" w:sz="0" w:space="0" w:color="auto"/>
        <w:right w:val="none" w:sz="0" w:space="0" w:color="auto"/>
      </w:divBdr>
    </w:div>
    <w:div w:id="2029408800">
      <w:bodyDiv w:val="1"/>
      <w:marLeft w:val="0"/>
      <w:marRight w:val="0"/>
      <w:marTop w:val="0"/>
      <w:marBottom w:val="0"/>
      <w:divBdr>
        <w:top w:val="none" w:sz="0" w:space="0" w:color="auto"/>
        <w:left w:val="none" w:sz="0" w:space="0" w:color="auto"/>
        <w:bottom w:val="none" w:sz="0" w:space="0" w:color="auto"/>
        <w:right w:val="none" w:sz="0" w:space="0" w:color="auto"/>
      </w:divBdr>
    </w:div>
    <w:div w:id="2115830148">
      <w:bodyDiv w:val="1"/>
      <w:marLeft w:val="0"/>
      <w:marRight w:val="0"/>
      <w:marTop w:val="0"/>
      <w:marBottom w:val="0"/>
      <w:divBdr>
        <w:top w:val="none" w:sz="0" w:space="0" w:color="auto"/>
        <w:left w:val="none" w:sz="0" w:space="0" w:color="auto"/>
        <w:bottom w:val="none" w:sz="0" w:space="0" w:color="auto"/>
        <w:right w:val="none" w:sz="0" w:space="0" w:color="auto"/>
      </w:divBdr>
    </w:div>
    <w:div w:id="21207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catalogue/393776dd-6b8c-3371-b4ea-5789c83314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ndeley.com/catalogue/a801dcda-3102-3039-9c68-76eda27c930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75F6-A2EC-4C9E-8912-03822D0F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42101</Words>
  <Characters>265240</Characters>
  <Application>Microsoft Office Word</Application>
  <DocSecurity>0</DocSecurity>
  <Lines>2210</Lines>
  <Paragraphs>613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Körner</dc:creator>
  <cp:keywords/>
  <dc:description/>
  <cp:lastModifiedBy>Mo Stein</cp:lastModifiedBy>
  <cp:revision>2</cp:revision>
  <dcterms:created xsi:type="dcterms:W3CDTF">2020-05-19T13:54:00Z</dcterms:created>
  <dcterms:modified xsi:type="dcterms:W3CDTF">2020-05-19T13:54:00Z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http://csl.mendeley.com/styles/579752771/apa-2</vt:lpwstr>
  </property>
  <property fmtid="{D5CDD505-2E9C-101B-9397-08002B2CF9AE}" pid="6" name="Mendeley Recent Style Name 1_1">
    <vt:lpwstr>American Psychological Association 7th edition - Anja Kaufmann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http://www.zotero.org/styles/ipag-business-school-apa</vt:lpwstr>
  </property>
  <property fmtid="{D5CDD505-2E9C-101B-9397-08002B2CF9AE}" pid="16" name="Mendeley Recent Style Name 6_1">
    <vt:lpwstr>IPAG Business School - APA</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http://www.zotero.org/styles/nature</vt:lpwstr>
  </property>
  <property fmtid="{D5CDD505-2E9C-101B-9397-08002B2CF9AE}" pid="24" name="Mendeley Unique User Id_1">
    <vt:lpwstr>a3af75f8-823c-38ac-ab2b-0261e81c2fa5</vt:lpwstr>
  </property>
</Properties>
</file>